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5F3865" w:rsidP="00CF4B55">
            <w:pPr>
              <w:jc w:val="both"/>
            </w:pPr>
            <w:r>
              <w:t>Giocattoli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7E1376" w:rsidP="007E330D">
            <w:pPr>
              <w:jc w:val="both"/>
            </w:pPr>
            <w:r>
              <w:t>Peluche e giocattoli morbidi imbottiti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1D1854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8656" behindDoc="0" locked="0" layoutInCell="1" allowOverlap="1" wp14:anchorId="1AF7DB75" wp14:editId="31AAC702">
                  <wp:simplePos x="0" y="0"/>
                  <wp:positionH relativeFrom="column">
                    <wp:posOffset>1553210</wp:posOffset>
                  </wp:positionH>
                  <wp:positionV relativeFrom="paragraph">
                    <wp:posOffset>16873</wp:posOffset>
                  </wp:positionV>
                  <wp:extent cx="1545590" cy="1782445"/>
                  <wp:effectExtent l="0" t="0" r="0" b="8255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178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714560" behindDoc="0" locked="0" layoutInCell="1" allowOverlap="1" wp14:anchorId="78D2F10F" wp14:editId="4F76C888">
                  <wp:simplePos x="0" y="0"/>
                  <wp:positionH relativeFrom="column">
                    <wp:posOffset>3151505</wp:posOffset>
                  </wp:positionH>
                  <wp:positionV relativeFrom="paragraph">
                    <wp:posOffset>17780</wp:posOffset>
                  </wp:positionV>
                  <wp:extent cx="1413510" cy="145097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10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1D1854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0" locked="0" layoutInCell="1" allowOverlap="1" wp14:anchorId="60ED03A7" wp14:editId="7FB215C6">
                  <wp:simplePos x="0" y="0"/>
                  <wp:positionH relativeFrom="column">
                    <wp:posOffset>4878523</wp:posOffset>
                  </wp:positionH>
                  <wp:positionV relativeFrom="paragraph">
                    <wp:posOffset>86995</wp:posOffset>
                  </wp:positionV>
                  <wp:extent cx="1177290" cy="1249680"/>
                  <wp:effectExtent l="0" t="0" r="3810" b="762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713B">
              <w:rPr>
                <w:noProof/>
                <w:lang w:eastAsia="it-IT"/>
              </w:rPr>
              <w:drawing>
                <wp:anchor distT="0" distB="0" distL="114300" distR="114300" simplePos="0" relativeHeight="251706368" behindDoc="0" locked="0" layoutInCell="1" allowOverlap="1" wp14:anchorId="6DFA53A6" wp14:editId="3767F7EC">
                  <wp:simplePos x="0" y="0"/>
                  <wp:positionH relativeFrom="column">
                    <wp:posOffset>6155599</wp:posOffset>
                  </wp:positionH>
                  <wp:positionV relativeFrom="paragraph">
                    <wp:posOffset>138430</wp:posOffset>
                  </wp:positionV>
                  <wp:extent cx="1110343" cy="1626677"/>
                  <wp:effectExtent l="0" t="0" r="0" b="0"/>
                  <wp:wrapNone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343" cy="162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1D1854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0464" behindDoc="0" locked="0" layoutInCell="1" allowOverlap="1" wp14:anchorId="5478B0D5" wp14:editId="3524D13E">
                  <wp:simplePos x="0" y="0"/>
                  <wp:positionH relativeFrom="column">
                    <wp:posOffset>2687683</wp:posOffset>
                  </wp:positionH>
                  <wp:positionV relativeFrom="paragraph">
                    <wp:posOffset>145052</wp:posOffset>
                  </wp:positionV>
                  <wp:extent cx="1527810" cy="1704975"/>
                  <wp:effectExtent l="0" t="0" r="0" b="952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717632" behindDoc="0" locked="0" layoutInCell="1" allowOverlap="1" wp14:anchorId="2C542C20" wp14:editId="342D99F9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146685</wp:posOffset>
                  </wp:positionV>
                  <wp:extent cx="1591945" cy="1699260"/>
                  <wp:effectExtent l="0" t="0" r="825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45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0B24F0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1D1854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6608" behindDoc="0" locked="0" layoutInCell="1" allowOverlap="1" wp14:anchorId="752F41B7" wp14:editId="30F900FE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153670</wp:posOffset>
                  </wp:positionV>
                  <wp:extent cx="1958340" cy="861695"/>
                  <wp:effectExtent l="0" t="0" r="381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7E1376" w:rsidP="003512D0">
            <w:pPr>
              <w:jc w:val="both"/>
            </w:pPr>
            <w:r>
              <w:t>Giocattolo, rivestito</w:t>
            </w:r>
            <w:r w:rsidR="0073588F">
              <w:t xml:space="preserve"> </w:t>
            </w:r>
            <w:r>
              <w:t xml:space="preserve">o non rivestito, con superfici del corpo morbide e riempito di materiali morbidi, </w:t>
            </w:r>
            <w:r w:rsidR="003A3BBF">
              <w:t>per il quale</w:t>
            </w:r>
            <w:r>
              <w:t xml:space="preserve"> </w:t>
            </w:r>
            <w:r w:rsidR="003A3BBF">
              <w:t>è possibile</w:t>
            </w:r>
            <w:r>
              <w:t xml:space="preserve"> comprimere facilmente </w:t>
            </w:r>
            <w:r w:rsidR="003512D0">
              <w:t>con la mano la parte principale dello stesso. Possono essere presenti elementi rigidi applicati (ad esempio occhi o naso) e son</w:t>
            </w:r>
            <w:r w:rsidR="00366C8A">
              <w:t>o</w:t>
            </w:r>
            <w:bookmarkStart w:id="0" w:name="_GoBack"/>
            <w:bookmarkEnd w:id="0"/>
            <w:r w:rsidR="003512D0">
              <w:t xml:space="preserve"> generalmente destinati a bambini piccoli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200CCB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  <w:p w:rsidR="002B7BA3" w:rsidRPr="00816DC0" w:rsidRDefault="000819FE" w:rsidP="003D2C7B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Nel caso particolare dei giocattoli morbidi imbottiti sono rare le casistiche in cui il prodotto non possa essere considerato inteso per bambini di età inferiore ai 36 mesi, anche ne</w:t>
            </w:r>
            <w:r w:rsidR="00377B27">
              <w:rPr>
                <w:i/>
              </w:rPr>
              <w:t>l</w:t>
            </w:r>
            <w:r>
              <w:rPr>
                <w:i/>
              </w:rPr>
              <w:t xml:space="preserve"> caso di prodotti non specificatamente destinati ad un uso ludico</w:t>
            </w:r>
            <w:r w:rsidR="003D2C7B">
              <w:rPr>
                <w:i/>
              </w:rPr>
              <w:t xml:space="preserve"> primario</w:t>
            </w:r>
            <w:r>
              <w:rPr>
                <w:i/>
              </w:rPr>
              <w:t xml:space="preserve"> (ad esempio </w:t>
            </w:r>
            <w:r w:rsidR="003D2C7B">
              <w:rPr>
                <w:i/>
              </w:rPr>
              <w:t>decorazioni, portachiavi e cuscini)</w:t>
            </w:r>
            <w:r>
              <w:rPr>
                <w:i/>
              </w:rPr>
              <w:t xml:space="preserve"> è pertanto da porre particolare attenzione alla presenza della marcatura CE, delle avvertenze e dell’assenza di piccole parti rimuovibili.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lastRenderedPageBreak/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EC3CC9" w:rsidRDefault="00EC3CC9" w:rsidP="006D500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 xml:space="preserve">indicazione </w:t>
            </w:r>
            <w:r w:rsidR="00AE1AC2">
              <w:t xml:space="preserve">degli </w:t>
            </w:r>
            <w:r w:rsidR="00360B05">
              <w:t>estremi del fabbricante e dell’importatore (se il fabbricante non è europeo)</w:t>
            </w:r>
          </w:p>
          <w:p w:rsidR="008924FA" w:rsidRDefault="008924FA" w:rsidP="008924FA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</w:t>
            </w:r>
            <w:r w:rsidR="00EB3D9D">
              <w:t xml:space="preserve"> targa e avvertenze</w:t>
            </w:r>
          </w:p>
          <w:p w:rsidR="006D500D" w:rsidRPr="009C3208" w:rsidRDefault="00360B05" w:rsidP="008924FA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 xml:space="preserve">istruzioni </w:t>
            </w:r>
            <w:r w:rsidR="00AD1ED3">
              <w:t xml:space="preserve">e avvertenze </w:t>
            </w:r>
            <w:r>
              <w:t>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76613B7" wp14:editId="320F3F8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E8023F" w:rsidP="00DE021D">
            <w:pPr>
              <w:jc w:val="both"/>
              <w:rPr>
                <w:b/>
              </w:rPr>
            </w:pPr>
            <w:r>
              <w:t xml:space="preserve">La </w:t>
            </w:r>
            <w:r w:rsidR="0046515B">
              <w:t xml:space="preserve">norma </w:t>
            </w:r>
            <w:r>
              <w:t xml:space="preserve">applicabile </w:t>
            </w:r>
            <w:r w:rsidR="00AE4E8E">
              <w:t>ai giocattoli</w:t>
            </w:r>
            <w:r>
              <w:t xml:space="preserve"> </w:t>
            </w:r>
            <w:r w:rsidR="0046515B">
              <w:t>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 w:rsidR="0046515B">
              <w:t xml:space="preserve">direttamente sul </w:t>
            </w:r>
            <w:r w:rsidR="00AE4E8E">
              <w:t>prodotto</w:t>
            </w:r>
            <w:r w:rsidR="007E68B4">
              <w:t>,</w:t>
            </w:r>
            <w:r w:rsidR="0046515B">
              <w:t xml:space="preserve"> </w:t>
            </w:r>
            <w:r w:rsidR="001C1ECA">
              <w:t xml:space="preserve">sostituibile da quella apposta </w:t>
            </w:r>
            <w:r w:rsidR="0046515B">
              <w:t>sull’imballaggio</w:t>
            </w:r>
            <w:r w:rsidR="00DE021D">
              <w:t xml:space="preserve"> </w:t>
            </w:r>
            <w:r w:rsidR="00ED0555">
              <w:t>del</w:t>
            </w:r>
            <w:r w:rsidR="003728E3">
              <w:t>l’articolo</w:t>
            </w:r>
            <w:r w:rsidR="00ED0555">
              <w:t xml:space="preserve"> </w:t>
            </w:r>
            <w:r w:rsidR="0046515B">
              <w:t xml:space="preserve">solo nel caso in cui </w:t>
            </w:r>
            <w:r w:rsidR="00DE021D">
              <w:t>risulti</w:t>
            </w:r>
            <w:r w:rsidR="0046515B">
              <w:t xml:space="preserve"> </w:t>
            </w:r>
            <w:r w:rsidR="0046515B" w:rsidRPr="0046515B">
              <w:t>impossibile</w:t>
            </w:r>
            <w:r w:rsidR="00AE4E8E">
              <w:t>,</w:t>
            </w:r>
            <w:r w:rsidR="0046515B" w:rsidRPr="0046515B">
              <w:t xml:space="preserve"> </w:t>
            </w:r>
            <w:r w:rsidR="00DE021D">
              <w:t xml:space="preserve">tecnicamente </w:t>
            </w:r>
            <w:r w:rsidR="0046515B">
              <w:t xml:space="preserve">o </w:t>
            </w:r>
            <w:r w:rsidR="0046515B" w:rsidRPr="0046515B">
              <w:t>a condizioni ragionevoli dal punto di vista tecnico o economico</w:t>
            </w:r>
            <w:r w:rsidR="00DE021D">
              <w:t xml:space="preserve">, </w:t>
            </w:r>
            <w:r w:rsidR="00AE4E8E">
              <w:t xml:space="preserve">apporla sul prodotto, </w:t>
            </w:r>
            <w:r w:rsidR="00DE021D">
              <w:t>oppure non si possano garantire</w:t>
            </w:r>
            <w:r w:rsidR="0046515B"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="0046515B" w:rsidRPr="0046515B">
              <w:t xml:space="preserve">, o </w:t>
            </w:r>
            <w:r w:rsidR="00DE021D">
              <w:t xml:space="preserve">ancora </w:t>
            </w:r>
            <w:r w:rsidR="0046515B" w:rsidRPr="0046515B">
              <w:t>non si p</w:t>
            </w:r>
            <w:r w:rsidR="00DE021D">
              <w:t>ossa</w:t>
            </w:r>
            <w:r w:rsidR="0046515B" w:rsidRPr="0046515B">
              <w:t xml:space="preserve"> garantire che la marcatura CE risulti v</w:t>
            </w:r>
            <w:r w:rsidR="00F2042A">
              <w:t>isibile, leggibile e indelebile. Da sottolineare che laddove la marcatura CE apposta sul prodotto non sia visibile dall’esterno senza aprire l’imballo è necessario che la marcatura sia riportata anche sulla confezione. Infine, nel caso di giocattoli venduti in espositori per i quali non è possibile marcare individualmente i prodotti è ammissibile che la marcatura sia apposta sull’espositore, purché rappresenti l’imballo originario.</w:t>
            </w:r>
            <w:r w:rsidR="00DE021D">
              <w:t xml:space="preserve"> </w:t>
            </w:r>
            <w:r w:rsidR="00DE021D" w:rsidRPr="00D95470">
              <w:rPr>
                <w:b/>
              </w:rPr>
              <w:t xml:space="preserve">È NECESSARIO CHE IL DISTRIBUTORE SI ACCERTI DELLA PRESENZA DELLA MARCATURA CE DIRETTAMENTE </w:t>
            </w:r>
            <w:r w:rsidR="003728E3">
              <w:rPr>
                <w:b/>
              </w:rPr>
              <w:t>SU CIASCUN G</w:t>
            </w:r>
            <w:r w:rsidR="00AE4E8E">
              <w:rPr>
                <w:b/>
              </w:rPr>
              <w:t>IOCATTOLO</w:t>
            </w:r>
            <w:r w:rsidR="00DE021D" w:rsidRPr="00D95470">
              <w:rPr>
                <w:b/>
              </w:rPr>
              <w:t xml:space="preserve"> APRENDO ALMENO UNA CONFEZIONE</w:t>
            </w:r>
            <w:r w:rsidR="00064BDA">
              <w:rPr>
                <w:b/>
              </w:rPr>
              <w:t>. NON E’ DA RITENERSI CON</w:t>
            </w:r>
            <w:r w:rsidR="009A0C5F">
              <w:rPr>
                <w:b/>
              </w:rPr>
              <w:t>FORME L’APPOSIZIONE SUL PRODOTTO DELLA MARCATURA CE A MEZZO ADESIVI (mancanza del requisito di</w:t>
            </w:r>
            <w:r w:rsidR="007C46A8">
              <w:rPr>
                <w:b/>
              </w:rPr>
              <w:t xml:space="preserve"> marchio indelebile</w:t>
            </w:r>
            <w:r w:rsidR="009A0C5F">
              <w:rPr>
                <w:b/>
              </w:rPr>
              <w:t>).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</w:t>
            </w:r>
            <w:r w:rsidR="003728E3">
              <w:t>g</w:t>
            </w:r>
            <w:r w:rsidR="00AE4E8E">
              <w:t>iocattolo</w:t>
            </w:r>
            <w:r>
              <w:t xml:space="preserve">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 xml:space="preserve">È NECESSARIO CHE IL DISTRIBUTORE SI ACCERTI DELLA PRESENZA DEL CODICE IDENTIFICATIVO DIRETTAMENTE </w:t>
            </w:r>
            <w:r w:rsidR="003728E3">
              <w:rPr>
                <w:b/>
              </w:rPr>
              <w:t xml:space="preserve">SU CIASCUN </w:t>
            </w:r>
            <w:r w:rsidR="00AE4E8E">
              <w:rPr>
                <w:b/>
              </w:rPr>
              <w:t>PRODOTTO</w:t>
            </w:r>
            <w:r w:rsidR="00864669" w:rsidRPr="00D95470">
              <w:rPr>
                <w:b/>
              </w:rPr>
              <w:t xml:space="preserve"> APRENDO ALMENO UNA CONFEZIONE</w:t>
            </w:r>
          </w:p>
          <w:p w:rsidR="00864669" w:rsidRDefault="00864669" w:rsidP="00644E2C">
            <w:pPr>
              <w:jc w:val="both"/>
            </w:pPr>
          </w:p>
          <w:p w:rsidR="00EB3D9D" w:rsidRDefault="00EB3D9D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lastRenderedPageBreak/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</w:t>
            </w:r>
            <w:r w:rsidR="00C37B51">
              <w:t>lo stesso</w:t>
            </w:r>
            <w:r>
              <w:t xml:space="preserve">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t xml:space="preserve">Anche in questo caso i dati riportati in confezione o su un documento che accompagna il prodotto </w:t>
            </w:r>
            <w:r w:rsidR="009A0C5F">
              <w:t xml:space="preserve">fino al consumatore finale </w:t>
            </w:r>
            <w:r>
              <w:t xml:space="preserve">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AE442C" w:rsidRDefault="00AE442C" w:rsidP="00AE44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 xml:space="preserve">DATI DI TARGA </w:t>
            </w:r>
            <w:r w:rsidR="00EB3D9D">
              <w:rPr>
                <w:u w:val="single"/>
              </w:rPr>
              <w:t>E AVVERTENZE</w:t>
            </w:r>
          </w:p>
          <w:p w:rsidR="00AE442C" w:rsidRDefault="00AE442C" w:rsidP="00AE442C">
            <w:pPr>
              <w:jc w:val="both"/>
            </w:pPr>
          </w:p>
          <w:p w:rsidR="00AE442C" w:rsidRDefault="00AE442C" w:rsidP="00AE442C">
            <w:pPr>
              <w:jc w:val="both"/>
            </w:pPr>
            <w:r>
              <w:t xml:space="preserve">La norma deriva la presunzione della conformità agli obiettivi di sicurezza di un </w:t>
            </w:r>
            <w:r w:rsidR="00AE4E8E">
              <w:t>giocattolo</w:t>
            </w:r>
            <w:r>
              <w:t xml:space="preserve"> dalla conformità dello stesso alle norme armonizzate ad esso applicabili. </w:t>
            </w:r>
            <w:r w:rsidR="0071674E">
              <w:t>La</w:t>
            </w:r>
            <w:r>
              <w:t xml:space="preserve"> </w:t>
            </w:r>
            <w:r w:rsidR="00C146BA">
              <w:t xml:space="preserve">principale </w:t>
            </w:r>
            <w:r>
              <w:t xml:space="preserve">normativa tecnica </w:t>
            </w:r>
            <w:r w:rsidR="0071674E">
              <w:t xml:space="preserve">applicabile ai giocattoli e costituita dall’insieme delle norme </w:t>
            </w:r>
            <w:r>
              <w:t>ar</w:t>
            </w:r>
            <w:r w:rsidR="003B48F5">
              <w:t>monizzat</w:t>
            </w:r>
            <w:r w:rsidR="0071674E">
              <w:t>e:</w:t>
            </w:r>
            <w:r w:rsidR="003B48F5">
              <w:t xml:space="preserve"> UNI EN </w:t>
            </w:r>
            <w:r w:rsidR="0071674E">
              <w:t>71-1</w:t>
            </w:r>
            <w:r w:rsidR="003B48F5">
              <w:t>:20</w:t>
            </w:r>
            <w:r w:rsidR="0071674E">
              <w:t>18 per le proprietà meccaniche e fisiche, UNI EN 71-2:2021 per l’infiammabilità e la UNI EN 71-3:</w:t>
            </w:r>
            <w:r w:rsidR="00C146BA">
              <w:t>2021</w:t>
            </w:r>
            <w:r w:rsidR="0071674E">
              <w:t xml:space="preserve"> per </w:t>
            </w:r>
            <w:r w:rsidR="00C146BA">
              <w:t>la migrazione di alcuni elementi. Queste norme</w:t>
            </w:r>
            <w:r w:rsidR="0071674E">
              <w:t xml:space="preserve"> </w:t>
            </w:r>
            <w:r>
              <w:t>impon</w:t>
            </w:r>
            <w:r w:rsidR="00C146BA">
              <w:t>gono</w:t>
            </w:r>
            <w:r>
              <w:t xml:space="preserve"> l’indicazione su ciascun g</w:t>
            </w:r>
            <w:r w:rsidR="00C146BA">
              <w:t>iocattolo</w:t>
            </w:r>
            <w:r>
              <w:t>, in modo permanente al fine di rimanere visibili e leggibili per tutta la vita utile, i seguenti elementi:</w:t>
            </w:r>
          </w:p>
          <w:p w:rsidR="00AE442C" w:rsidRDefault="00AE442C" w:rsidP="00AE442C">
            <w:pPr>
              <w:jc w:val="both"/>
            </w:pPr>
          </w:p>
          <w:p w:rsidR="00D8765B" w:rsidRDefault="00D8765B" w:rsidP="006650C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la marcatura CE;</w:t>
            </w:r>
          </w:p>
          <w:p w:rsidR="003B48F5" w:rsidRDefault="001A76D5" w:rsidP="006650C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gli estremi completi del fabbricante e dell’importatore (nome o marchio e indirizzo);</w:t>
            </w:r>
          </w:p>
          <w:p w:rsidR="006C3FD4" w:rsidRDefault="003B48F5" w:rsidP="006C3FD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codice identificativo del prodotto;</w:t>
            </w:r>
          </w:p>
          <w:p w:rsidR="006C3FD4" w:rsidRDefault="002607E3" w:rsidP="006C3FD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se applicabile l’avvertenza relativa</w:t>
            </w:r>
            <w:r w:rsidR="00C146BA">
              <w:t xml:space="preserve"> all’età</w:t>
            </w:r>
            <w:r w:rsidR="006C3FD4">
              <w:t xml:space="preserve"> nell</w:t>
            </w:r>
            <w:r w:rsidR="00A30EF1">
              <w:t>a</w:t>
            </w:r>
            <w:r w:rsidR="006C3FD4">
              <w:t xml:space="preserve"> forma di:</w:t>
            </w:r>
          </w:p>
          <w:p w:rsidR="006C3FD4" w:rsidRPr="006C3FD4" w:rsidRDefault="006C3FD4" w:rsidP="006C3FD4">
            <w:pPr>
              <w:pStyle w:val="Paragrafoelenco"/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2512" behindDoc="0" locked="0" layoutInCell="1" allowOverlap="1" wp14:anchorId="0E04F50A" wp14:editId="6F392FAF">
                  <wp:simplePos x="0" y="0"/>
                  <wp:positionH relativeFrom="column">
                    <wp:posOffset>1686923</wp:posOffset>
                  </wp:positionH>
                  <wp:positionV relativeFrom="paragraph">
                    <wp:posOffset>6350</wp:posOffset>
                  </wp:positionV>
                  <wp:extent cx="387985" cy="374015"/>
                  <wp:effectExtent l="0" t="0" r="0" b="698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ttogramm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8F5" w:rsidRDefault="006C3FD4" w:rsidP="006C3FD4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pittogramma</w:t>
            </w:r>
            <w:r w:rsidR="00C146BA">
              <w:t xml:space="preserve"> </w:t>
            </w:r>
            <w:r>
              <w:t xml:space="preserve">        </w:t>
            </w:r>
            <w:r w:rsidR="00C146BA">
              <w:t xml:space="preserve">     accompagnato dalla parola “A</w:t>
            </w:r>
            <w:r w:rsidR="00A30EF1">
              <w:t>ttenzione” (o “Avvertenza</w:t>
            </w:r>
            <w:r w:rsidR="00C146BA">
              <w:t>”</w:t>
            </w:r>
            <w:r w:rsidR="00A30EF1">
              <w:t xml:space="preserve"> o “Avvertenze”)</w:t>
            </w:r>
            <w:r w:rsidR="00817606">
              <w:t>;</w:t>
            </w:r>
          </w:p>
          <w:p w:rsidR="006C3FD4" w:rsidRPr="006C3FD4" w:rsidRDefault="006C3FD4" w:rsidP="006C3FD4">
            <w:pPr>
              <w:jc w:val="both"/>
              <w:rPr>
                <w:sz w:val="16"/>
                <w:szCs w:val="16"/>
              </w:rPr>
            </w:pPr>
          </w:p>
          <w:p w:rsidR="00A30EF1" w:rsidRDefault="00A30EF1" w:rsidP="006C3FD4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dicitura “</w:t>
            </w:r>
            <w:r w:rsidRPr="001A76D5">
              <w:rPr>
                <w:i/>
              </w:rPr>
              <w:t>Attenzione. Non adatto a bambini di età inferiore ai 36 mesi</w:t>
            </w:r>
            <w:r>
              <w:t>”</w:t>
            </w:r>
          </w:p>
          <w:p w:rsidR="005900CE" w:rsidRDefault="00A30EF1" w:rsidP="00695FC3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dicitura “</w:t>
            </w:r>
            <w:r w:rsidRPr="001A76D5">
              <w:rPr>
                <w:i/>
              </w:rPr>
              <w:t>Attenzione. Non adatto a bambini di età inferiore ai 3 anni</w:t>
            </w:r>
            <w:r>
              <w:t>”</w:t>
            </w:r>
          </w:p>
          <w:p w:rsidR="005900CE" w:rsidRDefault="005900CE" w:rsidP="005900CE">
            <w:pPr>
              <w:pStyle w:val="Paragrafoelenco"/>
              <w:jc w:val="both"/>
            </w:pPr>
          </w:p>
          <w:p w:rsidR="00AE442C" w:rsidRDefault="005900CE" w:rsidP="005900CE">
            <w:pPr>
              <w:pStyle w:val="Paragrafoelenco"/>
              <w:jc w:val="both"/>
            </w:pPr>
            <w:r>
              <w:t xml:space="preserve">in tutti </w:t>
            </w:r>
            <w:r w:rsidR="002607E3">
              <w:t xml:space="preserve">e tre </w:t>
            </w:r>
            <w:r>
              <w:t xml:space="preserve">i casi le avvertenze devono essere accompagnate </w:t>
            </w:r>
            <w:r w:rsidR="002607E3">
              <w:t>da una breve descrizione del pericolo specifico;</w:t>
            </w:r>
          </w:p>
          <w:p w:rsidR="006112A9" w:rsidRDefault="00182498" w:rsidP="00182498">
            <w:pPr>
              <w:jc w:val="both"/>
            </w:pPr>
            <w:r w:rsidRPr="00182498">
              <w:rPr>
                <w:b/>
              </w:rPr>
              <w:t>Nota</w:t>
            </w:r>
            <w:r>
              <w:t>: d</w:t>
            </w:r>
            <w:r w:rsidR="006112A9">
              <w:t xml:space="preserve">a considerare comunque che </w:t>
            </w:r>
            <w:r w:rsidR="003D2C7B">
              <w:t xml:space="preserve">sono estremamente rari i casi in cui un giocattolo imbottito </w:t>
            </w:r>
            <w:r>
              <w:t>e</w:t>
            </w:r>
            <w:r w:rsidR="003D2C7B">
              <w:t xml:space="preserve"> morbido non possa essere ritenuto adatto ad età inferiore ai 36 mesi (per mobilità, funzionalità o aspetto), quindi se presente il pittogramma o l’avvertenza relativa all’età devono risultare evidenti i motivi di tali limitazioni. </w:t>
            </w:r>
          </w:p>
          <w:p w:rsidR="000A01B1" w:rsidRDefault="000A01B1" w:rsidP="00695FC3">
            <w:pPr>
              <w:jc w:val="both"/>
              <w:rPr>
                <w:u w:val="single"/>
              </w:rPr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>La norma im</w:t>
            </w:r>
            <w:r w:rsidR="006D500D">
              <w:t xml:space="preserve">pone che ogni </w:t>
            </w:r>
            <w:r w:rsidR="006650C4">
              <w:t>giocatolo</w:t>
            </w:r>
            <w:r>
              <w:t xml:space="preserve"> sia accompagnato da istruzioni e </w:t>
            </w:r>
            <w:r w:rsidR="000A6908">
              <w:t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</w:t>
            </w:r>
            <w:r w:rsidR="006D500D">
              <w:t xml:space="preserve">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6D500D" w:rsidRDefault="006D500D" w:rsidP="00624ECA">
            <w:pPr>
              <w:shd w:val="clear" w:color="auto" w:fill="FFFFFF"/>
            </w:pPr>
          </w:p>
          <w:p w:rsidR="00443E3E" w:rsidRDefault="00443E3E" w:rsidP="00443E3E">
            <w:pPr>
              <w:shd w:val="clear" w:color="auto" w:fill="FFFFFF"/>
            </w:pPr>
            <w:r>
              <w:t>Le</w:t>
            </w:r>
            <w:r w:rsidRPr="00AC6EDC">
              <w:t xml:space="preserve"> istruzioni </w:t>
            </w:r>
            <w:r>
              <w:t xml:space="preserve">sulla sicurezza </w:t>
            </w:r>
            <w:r w:rsidRPr="001E733C">
              <w:t xml:space="preserve">devono </w:t>
            </w:r>
            <w:r>
              <w:t>indicare:</w:t>
            </w: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443E3E" w:rsidRDefault="00443E3E" w:rsidP="00443E3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gli estremi completi del fabbricante e dell’importatore (nome o marchio e indirizzo);</w:t>
            </w:r>
          </w:p>
          <w:p w:rsidR="00443E3E" w:rsidRDefault="00443E3E" w:rsidP="00443E3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codice identificativo del prodotto;</w:t>
            </w:r>
          </w:p>
          <w:p w:rsidR="000A01B1" w:rsidRDefault="00EB3D9D" w:rsidP="00443E3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 xml:space="preserve">l’indicazione delle avvertenze </w:t>
            </w:r>
            <w:r w:rsidR="006F0BA4">
              <w:t xml:space="preserve">di sicurezza </w:t>
            </w:r>
            <w:r>
              <w:t>e delle informazioni relative all’attribuzione delle fasce di età</w:t>
            </w:r>
            <w:r w:rsidR="001A2D7E">
              <w:t xml:space="preserve"> e le limitazioni d’uso</w:t>
            </w:r>
            <w:r>
              <w:t>;</w:t>
            </w:r>
          </w:p>
          <w:p w:rsidR="000F021D" w:rsidRDefault="006F0BA4" w:rsidP="001A2D7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per l’eventuale montaggio (se applicabile);</w:t>
            </w:r>
          </w:p>
          <w:p w:rsidR="006F0BA4" w:rsidRDefault="006F0BA4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e avvertenze relative la manutenzione, pulizia e conservazione del prodotto</w:t>
            </w:r>
          </w:p>
          <w:p w:rsidR="001A2D7E" w:rsidRPr="007E68B4" w:rsidRDefault="001A2D7E" w:rsidP="001A2D7E">
            <w:pPr>
              <w:pStyle w:val="Paragrafoelenco"/>
              <w:shd w:val="clear" w:color="auto" w:fill="FFFFFF"/>
              <w:jc w:val="both"/>
            </w:pP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</w:t>
            </w:r>
            <w:r w:rsidR="0031172D">
              <w:t xml:space="preserve">e, mentre un prodotto è </w:t>
            </w:r>
            <w:r>
              <w:t>sotto la loro responsabilità</w:t>
            </w:r>
            <w:r w:rsidR="0031172D">
              <w:t>, le</w:t>
            </w:r>
            <w:r w:rsidRPr="004D219C">
              <w:t xml:space="preserve">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</w:t>
            </w:r>
            <w:r w:rsidR="0031172D">
              <w:t>che dipende</w:t>
            </w:r>
            <w:r w:rsidR="00856AE1">
              <w:t xml:space="preserve">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  <w:r w:rsidR="0031172D">
              <w:rPr>
                <w:b/>
              </w:rPr>
              <w:t xml:space="preserve"> O DIRETTAMENTE DEL PRODOTTO.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>Sulla base di quanto previsto per i controlli visivi obbligatori è necessario che il distributore apra almeno una confezione per o</w:t>
            </w:r>
            <w:r w:rsidR="00AF3C65">
              <w:t xml:space="preserve">gni </w:t>
            </w:r>
            <w:r w:rsidR="00381113">
              <w:t>prodotto</w:t>
            </w:r>
            <w:r w:rsidRPr="004D219C">
              <w:t xml:space="preserve">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DEI M</w:t>
            </w:r>
            <w:r w:rsidR="002C7C57">
              <w:t xml:space="preserve">ATERIALI: </w:t>
            </w:r>
            <w:r w:rsidR="006F0BA4">
              <w:t xml:space="preserve">i </w:t>
            </w:r>
            <w:r w:rsidR="00182498">
              <w:t>giocattoli imbottiti sono da ritenersi quasi sempre adatti a bambini di età inferiore ai 36 mesi, quindi si tratta di prodotti suscettibili di essere portati alla bocca</w:t>
            </w:r>
            <w:r w:rsidR="00813EC0">
              <w:t xml:space="preserve"> e determinare rischi di strangolamento e </w:t>
            </w:r>
            <w:r w:rsidR="00813EC0">
              <w:lastRenderedPageBreak/>
              <w:t>soffocamento. Oltre quindi a dover</w:t>
            </w:r>
            <w:r w:rsidR="00E4255D">
              <w:t xml:space="preserve"> essere privi di bordi taglienti, punte e parti sporgenti in grado di arrecare danno all’utilizzatore</w:t>
            </w:r>
            <w:r w:rsidR="002C7C57">
              <w:t>,</w:t>
            </w:r>
            <w:r w:rsidR="00BB66A2">
              <w:t xml:space="preserve"> devono </w:t>
            </w:r>
            <w:r w:rsidR="00E4255D">
              <w:t>essere esenti da alterazioni quali</w:t>
            </w:r>
            <w:r w:rsidR="002C7C57">
              <w:t xml:space="preserve"> fori, crepe, strappi, </w:t>
            </w:r>
            <w:r w:rsidR="00813EC0">
              <w:t xml:space="preserve">scuciture </w:t>
            </w:r>
            <w:r w:rsidR="002C7C57">
              <w:t>alterazioni del colore e simili difetti</w:t>
            </w:r>
            <w:r w:rsidR="00831983">
              <w:t xml:space="preserve"> (ad esempio la possibilità di formare laniccio)</w:t>
            </w:r>
            <w:r w:rsidR="00813EC0">
              <w:t xml:space="preserve">, nonché essere privi di accessori rimovibili </w:t>
            </w:r>
            <w:r w:rsidR="00831983">
              <w:t>rientranti nelle piccole parti, imbottiture contenenti corpi duri o appuntiti, o</w:t>
            </w:r>
            <w:r w:rsidR="00813EC0">
              <w:t xml:space="preserve"> corde e cordini (retrattili o meno</w:t>
            </w:r>
            <w:r w:rsidR="002A2C8E">
              <w:t>,</w:t>
            </w:r>
            <w:r w:rsidR="00831983">
              <w:t xml:space="preserve"> o per trascinare il giocattolo</w:t>
            </w:r>
            <w:r w:rsidR="00813EC0">
              <w:t>)</w:t>
            </w:r>
            <w:r w:rsidR="00831983">
              <w:t xml:space="preserve"> con sezione inferiore a 1,5 mm e lunghezza superiore ai 22 cm</w:t>
            </w:r>
            <w:r w:rsidR="00E4255D">
              <w:t xml:space="preserve">. La loro presenza è da individuare </w:t>
            </w:r>
            <w:r w:rsidR="002C7C57">
              <w:t>come una non conformità del prodotto di cui deve essere impedita la commercializzazione.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7FE74F78" wp14:editId="67E0BB62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E4255D" w:rsidRDefault="00F3630B" w:rsidP="002D6A65">
            <w:pPr>
              <w:pStyle w:val="Paragrafoelenco"/>
              <w:autoSpaceDE w:val="0"/>
              <w:autoSpaceDN w:val="0"/>
              <w:adjustRightInd w:val="0"/>
            </w:pPr>
            <w:r>
              <w:t>Si ricorda che non sono ammessi marchi CE applicati al prod</w:t>
            </w:r>
            <w:r w:rsidR="00E4255D">
              <w:t>otto mediante etichette adesive</w:t>
            </w:r>
          </w:p>
          <w:p w:rsidR="00B83E4F" w:rsidRDefault="00B83E4F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770DFD" w:rsidRDefault="008246D3" w:rsidP="00BD7C49">
            <w:pPr>
              <w:jc w:val="both"/>
            </w:pPr>
            <w:r>
              <w:t xml:space="preserve">SE UN PRODOTTO NON SUPERA IN MANIERA SODDISFACENTE TUTTI E </w:t>
            </w:r>
            <w:r w:rsidR="00BD7C49">
              <w:t>DUE</w:t>
            </w:r>
            <w:r>
              <w:t xml:space="preserve">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lastRenderedPageBreak/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9E612E" w:rsidRDefault="00297EA5" w:rsidP="00297EA5">
            <w:pPr>
              <w:jc w:val="both"/>
            </w:pPr>
            <w:r>
              <w:rPr>
                <w:b/>
              </w:rPr>
              <w:t>Direttiva</w:t>
            </w:r>
            <w:r w:rsidR="00BD7C49" w:rsidRPr="0049334B">
              <w:rPr>
                <w:b/>
              </w:rPr>
              <w:t xml:space="preserve"> </w:t>
            </w:r>
            <w:r>
              <w:rPr>
                <w:b/>
              </w:rPr>
              <w:t>2009/48/CE</w:t>
            </w:r>
            <w:r w:rsidR="00802B0F">
              <w:t xml:space="preserve"> </w:t>
            </w:r>
            <w:r w:rsidR="00802B0F" w:rsidRPr="009C3208">
              <w:t>(</w:t>
            </w:r>
            <w:r>
              <w:t>Sicurezza Giocattoli</w:t>
            </w:r>
            <w:r w:rsidR="00BD7C49">
              <w:t>)</w:t>
            </w:r>
          </w:p>
          <w:p w:rsidR="00447AF1" w:rsidRDefault="00447AF1" w:rsidP="00297EA5">
            <w:pPr>
              <w:jc w:val="both"/>
            </w:pPr>
            <w:r w:rsidRPr="00010385">
              <w:rPr>
                <w:b/>
              </w:rPr>
              <w:t>Regolamento (CE) n.1907/2006</w:t>
            </w:r>
            <w:r>
              <w:t xml:space="preserve"> (REACH)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2A4A4E" w:rsidRDefault="00802B0F" w:rsidP="00297EA5">
            <w:pPr>
              <w:jc w:val="both"/>
            </w:pPr>
            <w:r w:rsidRPr="0049334B">
              <w:rPr>
                <w:b/>
              </w:rPr>
              <w:t xml:space="preserve">Decreto Legislativo </w:t>
            </w:r>
            <w:r w:rsidR="00297EA5">
              <w:rPr>
                <w:b/>
              </w:rPr>
              <w:t>11 aprile 2011, n. 54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447AF1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71-1:2018 “Sicurezza dei giocattoli – parte 1: Proprietà meccaniche e fisiche”</w:t>
            </w:r>
          </w:p>
          <w:p w:rsidR="00447AF1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71-2:2021 “Sicurezza dei giocattoli – parte 2: Infiammabilità”</w:t>
            </w:r>
          </w:p>
          <w:p w:rsidR="00447AF1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71-3:2021 “Sicurezza dei giocattoli – parte 3: Migrazione di alcuni elementi”</w:t>
            </w:r>
          </w:p>
          <w:p w:rsidR="00F13245" w:rsidRPr="00447AF1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UNI </w:t>
            </w:r>
            <w:r w:rsidRPr="00010385">
              <w:rPr>
                <w:b/>
              </w:rPr>
              <w:t>EN 71-12:2017 – “Sicurezza dei Giocattoli – N-</w:t>
            </w:r>
            <w:proofErr w:type="spellStart"/>
            <w:r w:rsidRPr="00010385">
              <w:rPr>
                <w:b/>
              </w:rPr>
              <w:t>Nitrosammine</w:t>
            </w:r>
            <w:proofErr w:type="spellEnd"/>
            <w:r w:rsidRPr="00010385">
              <w:rPr>
                <w:b/>
              </w:rPr>
              <w:t xml:space="preserve"> e sostanze N- </w:t>
            </w:r>
            <w:proofErr w:type="spellStart"/>
            <w:r w:rsidRPr="00010385">
              <w:rPr>
                <w:b/>
              </w:rPr>
              <w:t>Nitrosabili</w:t>
            </w:r>
            <w:proofErr w:type="spellEnd"/>
            <w:r w:rsidRPr="00010385">
              <w:rPr>
                <w:b/>
              </w:rPr>
              <w:t>”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366C8A" w:rsidP="00CF4B55">
            <w:pPr>
              <w:ind w:left="35"/>
              <w:jc w:val="both"/>
              <w:rPr>
                <w:b/>
              </w:rPr>
            </w:pPr>
            <w:hyperlink r:id="rId17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Poiché ai sensi dell’art.</w:t>
            </w:r>
            <w:r w:rsidR="00426CE6">
              <w:t xml:space="preserve"> </w:t>
            </w:r>
            <w:r w:rsidR="001F7EC2">
              <w:t>6</w:t>
            </w:r>
            <w:r>
              <w:t xml:space="preserve"> del </w:t>
            </w:r>
            <w:proofErr w:type="spellStart"/>
            <w:r w:rsidR="001F7EC2">
              <w:t>D.Lgs</w:t>
            </w:r>
            <w:proofErr w:type="spellEnd"/>
            <w:r w:rsidR="001F7EC2">
              <w:t xml:space="preserve"> 54/2011</w:t>
            </w:r>
            <w:r>
              <w:t xml:space="preserve"> i distributori prima di mettere </w:t>
            </w:r>
            <w:r w:rsidR="001F7EC2">
              <w:t>giocattoli</w:t>
            </w:r>
            <w:r>
              <w:t xml:space="preserve"> a disposizione</w:t>
            </w:r>
            <w:r w:rsidR="00933CD4">
              <w:t xml:space="preserve"> sul mercato assicurano che essi</w:t>
            </w:r>
            <w:r>
              <w:t>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lastRenderedPageBreak/>
              <w:t>sia</w:t>
            </w:r>
            <w:r w:rsidR="00933CD4">
              <w:t>no accompagnati</w:t>
            </w:r>
            <w:r>
              <w:t xml:space="preserve">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un codice identificativo</w:t>
            </w:r>
          </w:p>
          <w:p w:rsidR="00802B0F" w:rsidRDefault="00802B0F" w:rsidP="00CF4B55">
            <w:pPr>
              <w:jc w:val="both"/>
            </w:pPr>
          </w:p>
          <w:p w:rsidR="00D526C4" w:rsidRDefault="00D526C4" w:rsidP="00D526C4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 w:rsidR="003307B4" w:rsidRPr="003307B4">
              <w:rPr>
                <w:b/>
              </w:rPr>
              <w:t>1</w:t>
            </w:r>
            <w:r w:rsidR="0049334B">
              <w:rPr>
                <w:b/>
              </w:rPr>
              <w:t>.</w:t>
            </w:r>
            <w:r w:rsidR="002C2164">
              <w:rPr>
                <w:b/>
              </w:rPr>
              <w:t>500</w:t>
            </w:r>
            <w:r>
              <w:rPr>
                <w:b/>
              </w:rPr>
              <w:t xml:space="preserve"> € </w:t>
            </w:r>
            <w:r>
              <w:t>a</w:t>
            </w:r>
            <w:r>
              <w:rPr>
                <w:b/>
              </w:rPr>
              <w:t xml:space="preserve"> </w:t>
            </w:r>
            <w:r w:rsidR="002C2164">
              <w:rPr>
                <w:b/>
              </w:rPr>
              <w:t>10</w:t>
            </w:r>
            <w:r>
              <w:rPr>
                <w:b/>
              </w:rPr>
              <w:t>.000 €</w:t>
            </w:r>
            <w:r>
              <w:t xml:space="preserve"> (Art.</w:t>
            </w:r>
            <w:r w:rsidR="002C2164">
              <w:t xml:space="preserve">31.7 del </w:t>
            </w:r>
            <w:proofErr w:type="spellStart"/>
            <w:r w:rsidR="002C2164">
              <w:t>D.Lgs</w:t>
            </w:r>
            <w:proofErr w:type="spellEnd"/>
            <w:r w:rsidR="002C2164">
              <w:t xml:space="preserve"> 54/2011</w:t>
            </w:r>
            <w:r>
              <w:t>).</w:t>
            </w:r>
          </w:p>
          <w:p w:rsidR="00802B0F" w:rsidRDefault="00802B0F" w:rsidP="00CF4B55">
            <w:pPr>
              <w:jc w:val="both"/>
            </w:pPr>
          </w:p>
          <w:p w:rsidR="00802B0F" w:rsidRDefault="009E612E" w:rsidP="002C2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t>S</w:t>
            </w:r>
            <w:r w:rsidR="00802B0F">
              <w:t>alvo che il fatto costituisca reato, il distributore che effettua la messa a disposizione sul mercato di pr</w:t>
            </w:r>
            <w:r w:rsidR="003307B4">
              <w:t>odotti</w:t>
            </w:r>
            <w:r w:rsidR="00802B0F">
              <w:t xml:space="preserve"> in violazione di un provvedimento di divieto emesso dall’Autorità di vigilanza, è soggetto ad una sanzione amministrativa pecuniaria di una somma da </w:t>
            </w:r>
            <w:r w:rsidR="002C2164">
              <w:rPr>
                <w:b/>
              </w:rPr>
              <w:t>10.000</w:t>
            </w:r>
            <w:r w:rsidR="00802B0F" w:rsidRPr="00DA05AC">
              <w:rPr>
                <w:b/>
              </w:rPr>
              <w:t xml:space="preserve">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</w:t>
            </w:r>
            <w:r w:rsidR="002C2164">
              <w:rPr>
                <w:b/>
              </w:rPr>
              <w:t>50</w:t>
            </w:r>
            <w:r w:rsidR="003307B4">
              <w:rPr>
                <w:b/>
              </w:rPr>
              <w:t>.000</w:t>
            </w:r>
            <w:r w:rsidR="00802B0F" w:rsidRPr="00DA05AC">
              <w:rPr>
                <w:b/>
              </w:rPr>
              <w:t xml:space="preserve"> € </w:t>
            </w:r>
            <w:r w:rsidR="003307B4">
              <w:t>(</w:t>
            </w:r>
            <w:r w:rsidR="002C2164">
              <w:t xml:space="preserve">Art.31.2 del </w:t>
            </w:r>
            <w:proofErr w:type="spellStart"/>
            <w:r w:rsidR="002C2164">
              <w:t>D.Lgs</w:t>
            </w:r>
            <w:proofErr w:type="spellEnd"/>
            <w:r w:rsidR="002C2164">
              <w:t xml:space="preserve"> 54/2011</w:t>
            </w:r>
            <w:r w:rsidR="0007490D">
              <w:t>)</w:t>
            </w:r>
            <w:r w:rsidR="0007490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2164" w:rsidRDefault="002C2164" w:rsidP="003307B4">
            <w:pP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C2164" w:rsidRPr="002C2164" w:rsidRDefault="002C2164" w:rsidP="002C2164">
            <w:pPr>
              <w:jc w:val="both"/>
            </w:pPr>
            <w:r w:rsidRPr="002C2164">
              <w:t>Salvo che il fa</w:t>
            </w:r>
            <w:r>
              <w:t>tto costituisca reato</w:t>
            </w:r>
            <w:r w:rsidR="00F814E3">
              <w:t>,</w:t>
            </w:r>
            <w:r>
              <w:t xml:space="preserve"> il distributore che n</w:t>
            </w:r>
            <w:r w:rsidR="00F814E3">
              <w:t>on fornisce, su richiesta, all’A</w:t>
            </w:r>
            <w:r>
              <w:t>utorità di vigilanza, le informazioni relative agli operatori economici che gli hanno fornito un giocattolo</w:t>
            </w:r>
            <w:r w:rsidR="00F814E3">
              <w:t xml:space="preserve"> o non conserva tali dati per un periodo di almeno dieci anni dall’ultima fornitura è soggetto ad una sanzione da </w:t>
            </w:r>
            <w:r w:rsidR="00F814E3" w:rsidRPr="00F814E3">
              <w:rPr>
                <w:b/>
              </w:rPr>
              <w:t>2.500</w:t>
            </w:r>
            <w:r w:rsidR="00F814E3">
              <w:t xml:space="preserve"> </w:t>
            </w:r>
            <w:r w:rsidR="00F814E3" w:rsidRPr="00F814E3">
              <w:rPr>
                <w:b/>
              </w:rPr>
              <w:t>€</w:t>
            </w:r>
            <w:r w:rsidR="00F814E3">
              <w:t xml:space="preserve"> a </w:t>
            </w:r>
            <w:r w:rsidR="00F814E3" w:rsidRPr="00F814E3">
              <w:rPr>
                <w:b/>
              </w:rPr>
              <w:t>10.000 €</w:t>
            </w:r>
            <w:r w:rsidR="00F814E3">
              <w:t xml:space="preserve"> (art. 31.8 del </w:t>
            </w:r>
            <w:proofErr w:type="spellStart"/>
            <w:r w:rsidR="00F814E3">
              <w:t>D.Lgs.</w:t>
            </w:r>
            <w:proofErr w:type="spellEnd"/>
            <w:r w:rsidR="00F814E3">
              <w:t xml:space="preserve"> 54/2011)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F814E3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</w:t>
            </w:r>
            <w:proofErr w:type="spellStart"/>
            <w:r w:rsidR="00F814E3">
              <w:t>D.Lgs.</w:t>
            </w:r>
            <w:proofErr w:type="spellEnd"/>
            <w:r w:rsidR="00F814E3">
              <w:t xml:space="preserve"> 54/2011</w:t>
            </w:r>
            <w:r>
              <w:t xml:space="preserve">, nel caso in cui immetta sul mercato </w:t>
            </w:r>
            <w:r w:rsidR="00F814E3">
              <w:t>giocattoli</w:t>
            </w:r>
            <w:r>
              <w:t xml:space="preserve">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80"/>
    <w:multiLevelType w:val="hybridMultilevel"/>
    <w:tmpl w:val="ED381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34D1B"/>
    <w:multiLevelType w:val="hybridMultilevel"/>
    <w:tmpl w:val="78643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8C1"/>
    <w:multiLevelType w:val="hybridMultilevel"/>
    <w:tmpl w:val="26668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E582C"/>
    <w:multiLevelType w:val="hybridMultilevel"/>
    <w:tmpl w:val="94F4E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4360E"/>
    <w:multiLevelType w:val="hybridMultilevel"/>
    <w:tmpl w:val="D0E80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A2630"/>
    <w:multiLevelType w:val="hybridMultilevel"/>
    <w:tmpl w:val="6D8CF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DD40E92"/>
    <w:multiLevelType w:val="hybridMultilevel"/>
    <w:tmpl w:val="4B0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FFB1A54"/>
    <w:multiLevelType w:val="hybridMultilevel"/>
    <w:tmpl w:val="944A8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70B42"/>
    <w:multiLevelType w:val="hybridMultilevel"/>
    <w:tmpl w:val="070CB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83AD4"/>
    <w:multiLevelType w:val="hybridMultilevel"/>
    <w:tmpl w:val="46D0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C766D"/>
    <w:multiLevelType w:val="hybridMultilevel"/>
    <w:tmpl w:val="71F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8"/>
  </w:num>
  <w:num w:numId="5">
    <w:abstractNumId w:val="1"/>
  </w:num>
  <w:num w:numId="6">
    <w:abstractNumId w:val="19"/>
  </w:num>
  <w:num w:numId="7">
    <w:abstractNumId w:val="14"/>
  </w:num>
  <w:num w:numId="8">
    <w:abstractNumId w:val="11"/>
  </w:num>
  <w:num w:numId="9">
    <w:abstractNumId w:val="20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5"/>
  </w:num>
  <w:num w:numId="17">
    <w:abstractNumId w:val="2"/>
  </w:num>
  <w:num w:numId="18">
    <w:abstractNumId w:val="22"/>
  </w:num>
  <w:num w:numId="19">
    <w:abstractNumId w:val="8"/>
  </w:num>
  <w:num w:numId="20">
    <w:abstractNumId w:val="10"/>
  </w:num>
  <w:num w:numId="21">
    <w:abstractNumId w:val="17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259D6"/>
    <w:rsid w:val="000347F2"/>
    <w:rsid w:val="00046B05"/>
    <w:rsid w:val="00052AEA"/>
    <w:rsid w:val="00064BDA"/>
    <w:rsid w:val="000670D1"/>
    <w:rsid w:val="00067C49"/>
    <w:rsid w:val="0007490D"/>
    <w:rsid w:val="000759AA"/>
    <w:rsid w:val="00076459"/>
    <w:rsid w:val="000819FE"/>
    <w:rsid w:val="000A01B1"/>
    <w:rsid w:val="000A6908"/>
    <w:rsid w:val="000B2323"/>
    <w:rsid w:val="000B24F0"/>
    <w:rsid w:val="000E6D6E"/>
    <w:rsid w:val="000F021D"/>
    <w:rsid w:val="001118F3"/>
    <w:rsid w:val="0011493D"/>
    <w:rsid w:val="00115429"/>
    <w:rsid w:val="00122A0E"/>
    <w:rsid w:val="0012668B"/>
    <w:rsid w:val="00126C62"/>
    <w:rsid w:val="001605A5"/>
    <w:rsid w:val="00167FA6"/>
    <w:rsid w:val="00175BD5"/>
    <w:rsid w:val="00180B41"/>
    <w:rsid w:val="00182498"/>
    <w:rsid w:val="001A2D7E"/>
    <w:rsid w:val="001A76D5"/>
    <w:rsid w:val="001B710B"/>
    <w:rsid w:val="001C1ECA"/>
    <w:rsid w:val="001D0C2B"/>
    <w:rsid w:val="001D1854"/>
    <w:rsid w:val="001E733C"/>
    <w:rsid w:val="001F7EC2"/>
    <w:rsid w:val="00200CCB"/>
    <w:rsid w:val="00202B97"/>
    <w:rsid w:val="00213A07"/>
    <w:rsid w:val="00236C55"/>
    <w:rsid w:val="002439B3"/>
    <w:rsid w:val="002607E3"/>
    <w:rsid w:val="002635EB"/>
    <w:rsid w:val="00272345"/>
    <w:rsid w:val="002843ED"/>
    <w:rsid w:val="0029037C"/>
    <w:rsid w:val="00294A11"/>
    <w:rsid w:val="00297EA5"/>
    <w:rsid w:val="002A2C8E"/>
    <w:rsid w:val="002A4A4E"/>
    <w:rsid w:val="002B2230"/>
    <w:rsid w:val="002B7BA3"/>
    <w:rsid w:val="002C2164"/>
    <w:rsid w:val="002C7C57"/>
    <w:rsid w:val="002D150C"/>
    <w:rsid w:val="002D507D"/>
    <w:rsid w:val="002D6A65"/>
    <w:rsid w:val="002E6D5F"/>
    <w:rsid w:val="002F0BFA"/>
    <w:rsid w:val="00301C1C"/>
    <w:rsid w:val="003046FA"/>
    <w:rsid w:val="0031172D"/>
    <w:rsid w:val="003307B4"/>
    <w:rsid w:val="00331F6C"/>
    <w:rsid w:val="003512D0"/>
    <w:rsid w:val="00360B05"/>
    <w:rsid w:val="0036107B"/>
    <w:rsid w:val="00366C8A"/>
    <w:rsid w:val="003728E3"/>
    <w:rsid w:val="00377B27"/>
    <w:rsid w:val="00381113"/>
    <w:rsid w:val="003A3BBF"/>
    <w:rsid w:val="003B1E06"/>
    <w:rsid w:val="003B48F5"/>
    <w:rsid w:val="003B6537"/>
    <w:rsid w:val="003C018F"/>
    <w:rsid w:val="003C6011"/>
    <w:rsid w:val="003C702E"/>
    <w:rsid w:val="003D2C7B"/>
    <w:rsid w:val="003D749F"/>
    <w:rsid w:val="003E6B76"/>
    <w:rsid w:val="003F70D5"/>
    <w:rsid w:val="0040230C"/>
    <w:rsid w:val="00402EE3"/>
    <w:rsid w:val="00417962"/>
    <w:rsid w:val="00422BF1"/>
    <w:rsid w:val="00426CE6"/>
    <w:rsid w:val="00442588"/>
    <w:rsid w:val="00443E3E"/>
    <w:rsid w:val="00447AF1"/>
    <w:rsid w:val="00456613"/>
    <w:rsid w:val="0046515B"/>
    <w:rsid w:val="0049334B"/>
    <w:rsid w:val="00494711"/>
    <w:rsid w:val="004A20A2"/>
    <w:rsid w:val="004A4960"/>
    <w:rsid w:val="004B5DB3"/>
    <w:rsid w:val="004D1159"/>
    <w:rsid w:val="004D219C"/>
    <w:rsid w:val="00506D86"/>
    <w:rsid w:val="0052084E"/>
    <w:rsid w:val="00520D19"/>
    <w:rsid w:val="0054430E"/>
    <w:rsid w:val="0055798B"/>
    <w:rsid w:val="00575E2E"/>
    <w:rsid w:val="00585A94"/>
    <w:rsid w:val="005900CE"/>
    <w:rsid w:val="005C1391"/>
    <w:rsid w:val="005E4424"/>
    <w:rsid w:val="005F3865"/>
    <w:rsid w:val="005F6EF7"/>
    <w:rsid w:val="00600ED0"/>
    <w:rsid w:val="006112A9"/>
    <w:rsid w:val="006234E9"/>
    <w:rsid w:val="00624ECA"/>
    <w:rsid w:val="006254B7"/>
    <w:rsid w:val="00644E2C"/>
    <w:rsid w:val="006650C4"/>
    <w:rsid w:val="00695593"/>
    <w:rsid w:val="00695FC3"/>
    <w:rsid w:val="006B49F5"/>
    <w:rsid w:val="006B5728"/>
    <w:rsid w:val="006C3FD4"/>
    <w:rsid w:val="006D500D"/>
    <w:rsid w:val="006F0BA4"/>
    <w:rsid w:val="00700C34"/>
    <w:rsid w:val="00701375"/>
    <w:rsid w:val="007032B6"/>
    <w:rsid w:val="007101B0"/>
    <w:rsid w:val="00710C8E"/>
    <w:rsid w:val="0071674E"/>
    <w:rsid w:val="0073588F"/>
    <w:rsid w:val="00743F9A"/>
    <w:rsid w:val="00744658"/>
    <w:rsid w:val="0075356D"/>
    <w:rsid w:val="00770DFD"/>
    <w:rsid w:val="00776B28"/>
    <w:rsid w:val="007804B2"/>
    <w:rsid w:val="00784AC8"/>
    <w:rsid w:val="007930F5"/>
    <w:rsid w:val="007B04E7"/>
    <w:rsid w:val="007C46A8"/>
    <w:rsid w:val="007D2794"/>
    <w:rsid w:val="007D5E32"/>
    <w:rsid w:val="007E1376"/>
    <w:rsid w:val="007E330D"/>
    <w:rsid w:val="007E68B4"/>
    <w:rsid w:val="00802B0F"/>
    <w:rsid w:val="00804649"/>
    <w:rsid w:val="008100A8"/>
    <w:rsid w:val="008110F4"/>
    <w:rsid w:val="00813EC0"/>
    <w:rsid w:val="008161AD"/>
    <w:rsid w:val="00817606"/>
    <w:rsid w:val="008246D3"/>
    <w:rsid w:val="00824B41"/>
    <w:rsid w:val="00827CF2"/>
    <w:rsid w:val="00830564"/>
    <w:rsid w:val="00831983"/>
    <w:rsid w:val="00856AE1"/>
    <w:rsid w:val="00861139"/>
    <w:rsid w:val="00864669"/>
    <w:rsid w:val="008746FA"/>
    <w:rsid w:val="008924FA"/>
    <w:rsid w:val="008A0296"/>
    <w:rsid w:val="008A4169"/>
    <w:rsid w:val="008E35DE"/>
    <w:rsid w:val="008E770E"/>
    <w:rsid w:val="008F5D39"/>
    <w:rsid w:val="00900300"/>
    <w:rsid w:val="00903CC0"/>
    <w:rsid w:val="009105A1"/>
    <w:rsid w:val="00914C83"/>
    <w:rsid w:val="00930BB0"/>
    <w:rsid w:val="00933C19"/>
    <w:rsid w:val="00933CD4"/>
    <w:rsid w:val="00941FEA"/>
    <w:rsid w:val="00964C0E"/>
    <w:rsid w:val="009704C7"/>
    <w:rsid w:val="009A0C5F"/>
    <w:rsid w:val="009A4E18"/>
    <w:rsid w:val="009C0A74"/>
    <w:rsid w:val="009C3FFC"/>
    <w:rsid w:val="009D6977"/>
    <w:rsid w:val="009E3DB2"/>
    <w:rsid w:val="009E612E"/>
    <w:rsid w:val="00A003D2"/>
    <w:rsid w:val="00A0693F"/>
    <w:rsid w:val="00A118F8"/>
    <w:rsid w:val="00A11DFE"/>
    <w:rsid w:val="00A2415D"/>
    <w:rsid w:val="00A26185"/>
    <w:rsid w:val="00A30EF1"/>
    <w:rsid w:val="00A31821"/>
    <w:rsid w:val="00A3713B"/>
    <w:rsid w:val="00A65C79"/>
    <w:rsid w:val="00A6763E"/>
    <w:rsid w:val="00A72F8A"/>
    <w:rsid w:val="00AA19ED"/>
    <w:rsid w:val="00AA425C"/>
    <w:rsid w:val="00AC31F4"/>
    <w:rsid w:val="00AC6EDC"/>
    <w:rsid w:val="00AD1ED3"/>
    <w:rsid w:val="00AD3295"/>
    <w:rsid w:val="00AD3FFC"/>
    <w:rsid w:val="00AE1AC2"/>
    <w:rsid w:val="00AE2422"/>
    <w:rsid w:val="00AE2566"/>
    <w:rsid w:val="00AE2AEC"/>
    <w:rsid w:val="00AE2EC5"/>
    <w:rsid w:val="00AE442C"/>
    <w:rsid w:val="00AE4E8E"/>
    <w:rsid w:val="00AE503E"/>
    <w:rsid w:val="00AF3C65"/>
    <w:rsid w:val="00AF714E"/>
    <w:rsid w:val="00AF7C2C"/>
    <w:rsid w:val="00B07042"/>
    <w:rsid w:val="00B11521"/>
    <w:rsid w:val="00B26C33"/>
    <w:rsid w:val="00B42ED4"/>
    <w:rsid w:val="00B46074"/>
    <w:rsid w:val="00B57585"/>
    <w:rsid w:val="00B60B69"/>
    <w:rsid w:val="00B63ABE"/>
    <w:rsid w:val="00B73B67"/>
    <w:rsid w:val="00B7640C"/>
    <w:rsid w:val="00B83E4F"/>
    <w:rsid w:val="00BA207C"/>
    <w:rsid w:val="00BA5289"/>
    <w:rsid w:val="00BB1C7B"/>
    <w:rsid w:val="00BB66A2"/>
    <w:rsid w:val="00BC05E8"/>
    <w:rsid w:val="00BD7C49"/>
    <w:rsid w:val="00BE7ED7"/>
    <w:rsid w:val="00C146BA"/>
    <w:rsid w:val="00C200E1"/>
    <w:rsid w:val="00C25C49"/>
    <w:rsid w:val="00C37B51"/>
    <w:rsid w:val="00C43E63"/>
    <w:rsid w:val="00C55A77"/>
    <w:rsid w:val="00C711BF"/>
    <w:rsid w:val="00C8149A"/>
    <w:rsid w:val="00C9636F"/>
    <w:rsid w:val="00CA4860"/>
    <w:rsid w:val="00CB0C52"/>
    <w:rsid w:val="00CB775D"/>
    <w:rsid w:val="00CC3FC4"/>
    <w:rsid w:val="00CE25C4"/>
    <w:rsid w:val="00CF4B55"/>
    <w:rsid w:val="00D014CD"/>
    <w:rsid w:val="00D116E8"/>
    <w:rsid w:val="00D14B4E"/>
    <w:rsid w:val="00D15188"/>
    <w:rsid w:val="00D31113"/>
    <w:rsid w:val="00D526C4"/>
    <w:rsid w:val="00D62429"/>
    <w:rsid w:val="00D814BC"/>
    <w:rsid w:val="00D8765B"/>
    <w:rsid w:val="00D95470"/>
    <w:rsid w:val="00DA4672"/>
    <w:rsid w:val="00DB1BC9"/>
    <w:rsid w:val="00DD287B"/>
    <w:rsid w:val="00DD54C6"/>
    <w:rsid w:val="00DE021D"/>
    <w:rsid w:val="00DE26D6"/>
    <w:rsid w:val="00DE3D31"/>
    <w:rsid w:val="00DF260E"/>
    <w:rsid w:val="00E27451"/>
    <w:rsid w:val="00E37FBF"/>
    <w:rsid w:val="00E4255D"/>
    <w:rsid w:val="00E54A78"/>
    <w:rsid w:val="00E5774A"/>
    <w:rsid w:val="00E66D16"/>
    <w:rsid w:val="00E67762"/>
    <w:rsid w:val="00E8023F"/>
    <w:rsid w:val="00E95F11"/>
    <w:rsid w:val="00EB3D9D"/>
    <w:rsid w:val="00EC1BCF"/>
    <w:rsid w:val="00EC2B35"/>
    <w:rsid w:val="00EC2DA6"/>
    <w:rsid w:val="00EC3CC9"/>
    <w:rsid w:val="00ED0555"/>
    <w:rsid w:val="00ED6C3D"/>
    <w:rsid w:val="00EE1542"/>
    <w:rsid w:val="00F119B9"/>
    <w:rsid w:val="00F13245"/>
    <w:rsid w:val="00F148DA"/>
    <w:rsid w:val="00F2042A"/>
    <w:rsid w:val="00F2045D"/>
    <w:rsid w:val="00F3188C"/>
    <w:rsid w:val="00F332AD"/>
    <w:rsid w:val="00F3630B"/>
    <w:rsid w:val="00F44863"/>
    <w:rsid w:val="00F47E27"/>
    <w:rsid w:val="00F814E3"/>
    <w:rsid w:val="00F91517"/>
    <w:rsid w:val="00F937B9"/>
    <w:rsid w:val="00F945C1"/>
    <w:rsid w:val="00FA0799"/>
    <w:rsid w:val="00FA1C99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1229-4D71-4D77-9351-64CEC757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14</cp:revision>
  <dcterms:created xsi:type="dcterms:W3CDTF">2023-01-31T12:00:00Z</dcterms:created>
  <dcterms:modified xsi:type="dcterms:W3CDTF">2023-02-15T13:30:00Z</dcterms:modified>
</cp:coreProperties>
</file>