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A31821" w:rsidP="00CF4B55">
            <w:pPr>
              <w:jc w:val="both"/>
            </w:pPr>
            <w:r>
              <w:t>Dispositivo di Protezione Individuale (DPI)</w:t>
            </w:r>
            <w:r w:rsidR="005F6EF7">
              <w:t xml:space="preserve"> di </w:t>
            </w:r>
            <w:proofErr w:type="spellStart"/>
            <w:r w:rsidR="005F6EF7">
              <w:t>II</w:t>
            </w:r>
            <w:r w:rsidR="00BD7C49" w:rsidRPr="00BD7C49">
              <w:rPr>
                <w:vertAlign w:val="superscript"/>
              </w:rPr>
              <w:t>a</w:t>
            </w:r>
            <w:proofErr w:type="spellEnd"/>
            <w:r w:rsidR="00BD7C49">
              <w:t xml:space="preserve"> categoria</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2D507D" w:rsidP="004A20A2">
            <w:pPr>
              <w:jc w:val="both"/>
            </w:pPr>
            <w:r>
              <w:t xml:space="preserve">Guanti di protezione </w:t>
            </w:r>
            <w:r w:rsidR="005E4424">
              <w:t xml:space="preserve">da </w:t>
            </w:r>
            <w:r w:rsidR="004A20A2">
              <w:t>rischi meccanici</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175BD5" w:rsidP="00CF4B55">
            <w:pPr>
              <w:jc w:val="both"/>
            </w:pPr>
            <w:r>
              <w:rPr>
                <w:noProof/>
                <w:lang w:eastAsia="it-IT"/>
              </w:rPr>
              <w:drawing>
                <wp:anchor distT="0" distB="0" distL="114300" distR="114300" simplePos="0" relativeHeight="251710464" behindDoc="0" locked="0" layoutInCell="1" allowOverlap="1" wp14:anchorId="683FCF09" wp14:editId="72F6741E">
                  <wp:simplePos x="0" y="0"/>
                  <wp:positionH relativeFrom="column">
                    <wp:posOffset>3775075</wp:posOffset>
                  </wp:positionH>
                  <wp:positionV relativeFrom="paragraph">
                    <wp:posOffset>69215</wp:posOffset>
                  </wp:positionV>
                  <wp:extent cx="1871345" cy="1443355"/>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45" cy="144335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706368" behindDoc="0" locked="0" layoutInCell="1" allowOverlap="1" wp14:anchorId="2987A3FA" wp14:editId="53AA7680">
                  <wp:simplePos x="0" y="0"/>
                  <wp:positionH relativeFrom="column">
                    <wp:posOffset>5772785</wp:posOffset>
                  </wp:positionH>
                  <wp:positionV relativeFrom="paragraph">
                    <wp:posOffset>78740</wp:posOffset>
                  </wp:positionV>
                  <wp:extent cx="1742440" cy="1991995"/>
                  <wp:effectExtent l="0" t="0" r="0" b="825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42440" cy="1991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0768" behindDoc="0" locked="0" layoutInCell="1" allowOverlap="1" wp14:anchorId="4D90EDAE" wp14:editId="4BFB1C9A">
                  <wp:simplePos x="0" y="0"/>
                  <wp:positionH relativeFrom="column">
                    <wp:posOffset>1757045</wp:posOffset>
                  </wp:positionH>
                  <wp:positionV relativeFrom="paragraph">
                    <wp:posOffset>69850</wp:posOffset>
                  </wp:positionV>
                  <wp:extent cx="1886585" cy="191452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4.jpg"/>
                          <pic:cNvPicPr/>
                        </pic:nvPicPr>
                        <pic:blipFill>
                          <a:blip r:embed="rId9">
                            <a:extLst>
                              <a:ext uri="{28A0092B-C50C-407E-A947-70E740481C1C}">
                                <a14:useLocalDpi xmlns:a14="http://schemas.microsoft.com/office/drawing/2010/main" val="0"/>
                              </a:ext>
                            </a:extLst>
                          </a:blip>
                          <a:stretch>
                            <a:fillRect/>
                          </a:stretch>
                        </pic:blipFill>
                        <pic:spPr>
                          <a:xfrm>
                            <a:off x="0" y="0"/>
                            <a:ext cx="1886585" cy="191452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1792" behindDoc="0" locked="0" layoutInCell="1" allowOverlap="1" wp14:anchorId="7B852B77" wp14:editId="3EE1672C">
                  <wp:simplePos x="0" y="0"/>
                  <wp:positionH relativeFrom="column">
                    <wp:posOffset>7620</wp:posOffset>
                  </wp:positionH>
                  <wp:positionV relativeFrom="paragraph">
                    <wp:posOffset>71755</wp:posOffset>
                  </wp:positionV>
                  <wp:extent cx="1647190" cy="2414905"/>
                  <wp:effectExtent l="0" t="0" r="0" b="444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190" cy="2414905"/>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D014CD" w:rsidP="00CF4B55">
            <w:pPr>
              <w:jc w:val="both"/>
            </w:pPr>
            <w:r>
              <w:rPr>
                <w:noProof/>
                <w:lang w:eastAsia="it-IT"/>
              </w:rPr>
              <w:drawing>
                <wp:anchor distT="0" distB="0" distL="114300" distR="114300" simplePos="0" relativeHeight="251701248" behindDoc="0" locked="0" layoutInCell="1" allowOverlap="1" wp14:anchorId="79BC29E7" wp14:editId="42A07230">
                  <wp:simplePos x="0" y="0"/>
                  <wp:positionH relativeFrom="column">
                    <wp:posOffset>3570424</wp:posOffset>
                  </wp:positionH>
                  <wp:positionV relativeFrom="paragraph">
                    <wp:posOffset>24436</wp:posOffset>
                  </wp:positionV>
                  <wp:extent cx="2306955" cy="1443355"/>
                  <wp:effectExtent l="0" t="0" r="0" b="444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955" cy="1443355"/>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E6D6E" w:rsidRDefault="000E6D6E"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8F5D39" w:rsidP="005F6EF7">
            <w:pPr>
              <w:jc w:val="both"/>
            </w:pPr>
            <w:r>
              <w:t xml:space="preserve">Guanti </w:t>
            </w:r>
            <w:r w:rsidR="008100A8">
              <w:t xml:space="preserve">per la salvaguardia </w:t>
            </w:r>
            <w:r w:rsidR="00A6763E">
              <w:t>da</w:t>
            </w:r>
            <w:r w:rsidR="008100A8">
              <w:t xml:space="preserve"> lesioni gravi</w:t>
            </w:r>
            <w:r w:rsidR="00175BD5">
              <w:t>,</w:t>
            </w:r>
            <w:r w:rsidR="008100A8">
              <w:t xml:space="preserve"> resistenti alle aggressioni fisiche e meccaniche provocate</w:t>
            </w:r>
            <w:r w:rsidR="00A6763E">
              <w:t xml:space="preserve"> </w:t>
            </w:r>
            <w:r w:rsidR="008100A8">
              <w:t>da</w:t>
            </w:r>
            <w:r w:rsidR="00A6763E">
              <w:t xml:space="preserve">: </w:t>
            </w:r>
            <w:r w:rsidR="008100A8">
              <w:t>abrasioni, tagli di lama, foratura, tagli da urti, lacerazioni.</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Pr="00672DC1" w:rsidRDefault="00802B0F" w:rsidP="00CF4B55">
            <w:pPr>
              <w:spacing w:after="60"/>
              <w:jc w:val="both"/>
              <w:rPr>
                <w:i/>
                <w:sz w:val="16"/>
                <w:szCs w:val="16"/>
              </w:rPr>
            </w:pPr>
          </w:p>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200CCB"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p w:rsidR="00200CCB" w:rsidRDefault="00200CCB" w:rsidP="00B60B69">
            <w:pPr>
              <w:spacing w:after="60"/>
              <w:jc w:val="both"/>
              <w:rPr>
                <w:i/>
              </w:rPr>
            </w:pPr>
            <w:r>
              <w:rPr>
                <w:i/>
              </w:rPr>
              <w:t xml:space="preserve">Nel caso particolare dei guanti </w:t>
            </w:r>
            <w:r w:rsidR="000347F2">
              <w:rPr>
                <w:i/>
              </w:rPr>
              <w:t>di protezione</w:t>
            </w:r>
            <w:r>
              <w:rPr>
                <w:i/>
              </w:rPr>
              <w:t xml:space="preserve"> c’è da fare la distinzione tra quei prodotti che ricadono nella disciplina dei dispositivi di protezione individuale e i prodotti,</w:t>
            </w:r>
            <w:r w:rsidR="00701375">
              <w:rPr>
                <w:i/>
              </w:rPr>
              <w:t xml:space="preserve"> apparentemente</w:t>
            </w:r>
            <w:r>
              <w:rPr>
                <w:i/>
              </w:rPr>
              <w:t xml:space="preserve"> simili, per i quali non è garantita alcuna protezione specifica. I primi soddisfano specifici requisiti di protezione </w:t>
            </w:r>
            <w:r w:rsidR="008924FA">
              <w:rPr>
                <w:i/>
              </w:rPr>
              <w:t xml:space="preserve">dell’utilizzatore </w:t>
            </w:r>
            <w:r w:rsidR="00830564">
              <w:rPr>
                <w:i/>
              </w:rPr>
              <w:t>da rischi esterni</w:t>
            </w:r>
            <w:r w:rsidR="008924FA">
              <w:rPr>
                <w:i/>
              </w:rPr>
              <w:t xml:space="preserve"> </w:t>
            </w:r>
            <w:r w:rsidR="00701375">
              <w:rPr>
                <w:i/>
              </w:rPr>
              <w:t>e possiedono una marcatura imposta dalla norma</w:t>
            </w:r>
            <w:r>
              <w:rPr>
                <w:i/>
              </w:rPr>
              <w:t>, i secondi garantiscono soltanto (in base ai requisiti generali di sicurezza</w:t>
            </w:r>
            <w:r w:rsidR="00701375">
              <w:rPr>
                <w:i/>
              </w:rPr>
              <w:t xml:space="preserve"> richiesti per tutti i prodotti</w:t>
            </w:r>
            <w:r>
              <w:rPr>
                <w:i/>
              </w:rPr>
              <w:t>)</w:t>
            </w:r>
            <w:r w:rsidR="00701375">
              <w:rPr>
                <w:i/>
              </w:rPr>
              <w:t xml:space="preserve"> che il loro uso non d</w:t>
            </w:r>
            <w:r w:rsidR="008924FA">
              <w:rPr>
                <w:i/>
              </w:rPr>
              <w:t xml:space="preserve">etermina di per se un rischio, </w:t>
            </w:r>
            <w:r w:rsidR="00701375">
              <w:rPr>
                <w:i/>
              </w:rPr>
              <w:t>non possiedono alcuna marcatura</w:t>
            </w:r>
            <w:r w:rsidR="008924FA">
              <w:rPr>
                <w:i/>
              </w:rPr>
              <w:t xml:space="preserve"> ma non garantiscono legalmente alcuna protezione</w:t>
            </w:r>
            <w:r w:rsidR="00701375">
              <w:rPr>
                <w:i/>
              </w:rPr>
              <w:t>.</w:t>
            </w:r>
          </w:p>
          <w:p w:rsidR="00175BD5" w:rsidRDefault="00175BD5" w:rsidP="00B60B69">
            <w:pPr>
              <w:spacing w:after="60"/>
              <w:jc w:val="both"/>
              <w:rPr>
                <w:i/>
              </w:rPr>
            </w:pPr>
          </w:p>
          <w:p w:rsidR="00701375" w:rsidRDefault="00701375" w:rsidP="00B60B69">
            <w:pPr>
              <w:spacing w:after="60"/>
              <w:jc w:val="both"/>
              <w:rPr>
                <w:i/>
              </w:rPr>
            </w:pPr>
            <w:r>
              <w:rPr>
                <w:i/>
              </w:rPr>
              <w:t>In questa scheda v</w:t>
            </w:r>
            <w:r w:rsidR="005F6EF7">
              <w:rPr>
                <w:i/>
              </w:rPr>
              <w:t>engono trattati i guanti DPI di II</w:t>
            </w:r>
            <w:r w:rsidRPr="00701375">
              <w:rPr>
                <w:i/>
                <w:vertAlign w:val="superscript"/>
              </w:rPr>
              <w:t>a</w:t>
            </w:r>
            <w:r>
              <w:rPr>
                <w:i/>
              </w:rPr>
              <w:t xml:space="preserve"> categoria</w:t>
            </w:r>
            <w:r w:rsidR="00167FA6">
              <w:rPr>
                <w:i/>
              </w:rPr>
              <w:t xml:space="preserve"> per la protezione da rischi meccanici</w:t>
            </w:r>
            <w:r>
              <w:rPr>
                <w:i/>
              </w:rPr>
              <w:t>, ovvero prodotti in grado di offrire una protezione</w:t>
            </w:r>
            <w:r w:rsidR="00F945C1">
              <w:rPr>
                <w:i/>
              </w:rPr>
              <w:t xml:space="preserve"> efficace</w:t>
            </w:r>
            <w:r>
              <w:rPr>
                <w:i/>
              </w:rPr>
              <w:t xml:space="preserve">, </w:t>
            </w:r>
            <w:r w:rsidR="00F945C1">
              <w:rPr>
                <w:i/>
              </w:rPr>
              <w:t>anche in ambiti professionali</w:t>
            </w:r>
            <w:r w:rsidR="00E8023F">
              <w:rPr>
                <w:i/>
              </w:rPr>
              <w:t xml:space="preserve">, con caratteristiche conformi alla UNI EN </w:t>
            </w:r>
            <w:r w:rsidR="00AE442C">
              <w:rPr>
                <w:i/>
              </w:rPr>
              <w:t xml:space="preserve">ISO </w:t>
            </w:r>
            <w:r w:rsidR="00AE2566">
              <w:rPr>
                <w:i/>
              </w:rPr>
              <w:t>21</w:t>
            </w:r>
            <w:r w:rsidR="00E8023F">
              <w:rPr>
                <w:i/>
              </w:rPr>
              <w:t xml:space="preserve">420 </w:t>
            </w:r>
            <w:r w:rsidR="009A4E18">
              <w:rPr>
                <w:i/>
              </w:rPr>
              <w:t xml:space="preserve">e alla UNI EN 388 </w:t>
            </w:r>
            <w:r w:rsidR="00E8023F">
              <w:rPr>
                <w:i/>
              </w:rPr>
              <w:t>e dunque dotati di marcatura CE</w:t>
            </w:r>
            <w:r w:rsidR="009A4E18">
              <w:rPr>
                <w:i/>
              </w:rPr>
              <w:t xml:space="preserve"> e apposita etichettatura</w:t>
            </w:r>
            <w:r w:rsidR="00E8023F">
              <w:rPr>
                <w:i/>
              </w:rPr>
              <w:t>.</w:t>
            </w:r>
          </w:p>
          <w:p w:rsidR="002B7BA3" w:rsidRDefault="002B7BA3" w:rsidP="00B60B69">
            <w:pPr>
              <w:spacing w:after="60"/>
              <w:jc w:val="both"/>
              <w:rPr>
                <w:i/>
              </w:rPr>
            </w:pPr>
          </w:p>
          <w:p w:rsidR="002B7BA3" w:rsidRPr="00816DC0" w:rsidRDefault="009A4E18" w:rsidP="009A4E18">
            <w:pPr>
              <w:spacing w:after="60"/>
              <w:jc w:val="both"/>
              <w:rPr>
                <w:i/>
              </w:rPr>
            </w:pPr>
            <w:r>
              <w:rPr>
                <w:i/>
              </w:rPr>
              <w:t xml:space="preserve">Per i guanti DPI di </w:t>
            </w:r>
            <w:proofErr w:type="spellStart"/>
            <w:r>
              <w:rPr>
                <w:i/>
              </w:rPr>
              <w:t>I</w:t>
            </w:r>
            <w:r w:rsidR="00C711BF" w:rsidRPr="00C711BF">
              <w:rPr>
                <w:i/>
                <w:vertAlign w:val="superscript"/>
              </w:rPr>
              <w:t>a</w:t>
            </w:r>
            <w:proofErr w:type="spellEnd"/>
            <w:r>
              <w:rPr>
                <w:i/>
              </w:rPr>
              <w:t xml:space="preserve"> categoria</w:t>
            </w:r>
            <w:r w:rsidR="002B7BA3">
              <w:rPr>
                <w:i/>
              </w:rPr>
              <w:t xml:space="preserve"> </w:t>
            </w:r>
            <w:r w:rsidR="008924FA">
              <w:rPr>
                <w:i/>
              </w:rPr>
              <w:t>che offrono</w:t>
            </w:r>
            <w:r w:rsidR="002B7BA3">
              <w:rPr>
                <w:i/>
              </w:rPr>
              <w:t xml:space="preserve"> protezione da rischi </w:t>
            </w:r>
            <w:r>
              <w:rPr>
                <w:i/>
              </w:rPr>
              <w:t>minimi</w:t>
            </w:r>
            <w:r w:rsidR="002B7BA3">
              <w:rPr>
                <w:i/>
              </w:rPr>
              <w:t xml:space="preserve"> si rimanda alla scheda prodotto dedicata.</w:t>
            </w:r>
          </w:p>
        </w:tc>
      </w:tr>
      <w:tr w:rsidR="00802B0F" w:rsidTr="00360B05">
        <w:tc>
          <w:tcPr>
            <w:tcW w:w="1188" w:type="pct"/>
            <w:tcBorders>
              <w:bottom w:val="single" w:sz="4" w:space="0" w:color="auto"/>
            </w:tcBorders>
            <w:shd w:val="clear" w:color="auto" w:fill="FFFF00"/>
          </w:tcPr>
          <w:p w:rsidR="00046B05" w:rsidRDefault="00046B05" w:rsidP="00CF4B55">
            <w:pPr>
              <w:jc w:val="both"/>
            </w:pPr>
            <w:r>
              <w:lastRenderedPageBreak/>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EC3CC9" w:rsidRDefault="00EC3CC9" w:rsidP="006D500D">
            <w:pPr>
              <w:pStyle w:val="Paragrafoelenco"/>
              <w:numPr>
                <w:ilvl w:val="0"/>
                <w:numId w:val="11"/>
              </w:numPr>
              <w:jc w:val="both"/>
            </w:pPr>
            <w:r>
              <w:t>l’</w:t>
            </w:r>
            <w:r w:rsidR="00360B05">
              <w:t xml:space="preserve">indicazione </w:t>
            </w:r>
            <w:r w:rsidR="00AE1AC2">
              <w:t xml:space="preserve">degli </w:t>
            </w:r>
            <w:r w:rsidR="00360B05">
              <w:t>estremi del fabbricante e dell’importatore (se il fabbricante non è europeo)</w:t>
            </w:r>
          </w:p>
          <w:p w:rsidR="008924FA" w:rsidRDefault="008924FA" w:rsidP="008924FA">
            <w:pPr>
              <w:pStyle w:val="Paragrafoelenco"/>
              <w:numPr>
                <w:ilvl w:val="0"/>
                <w:numId w:val="11"/>
              </w:numPr>
              <w:jc w:val="both"/>
            </w:pPr>
            <w:r>
              <w:t>dati di targa obbligatori</w:t>
            </w:r>
            <w:r w:rsidR="000670D1">
              <w:t xml:space="preserve"> (guanti e confezione)</w:t>
            </w:r>
          </w:p>
          <w:p w:rsidR="006D500D" w:rsidRPr="009C3208" w:rsidRDefault="00360B05" w:rsidP="008924FA">
            <w:pPr>
              <w:pStyle w:val="Paragrafoelenco"/>
              <w:numPr>
                <w:ilvl w:val="0"/>
                <w:numId w:val="11"/>
              </w:numPr>
              <w:spacing w:after="60"/>
              <w:ind w:left="714" w:hanging="357"/>
              <w:jc w:val="both"/>
            </w:pPr>
            <w:r>
              <w:t xml:space="preserve">istruzioni </w:t>
            </w:r>
            <w:r w:rsidR="00AD1ED3">
              <w:t xml:space="preserve">e avvertenze </w:t>
            </w:r>
            <w:r>
              <w:t>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06E31562" wp14:editId="50B811B7">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D95470" w:rsidRDefault="00E8023F" w:rsidP="00DE021D">
            <w:pPr>
              <w:jc w:val="both"/>
              <w:rPr>
                <w:b/>
              </w:rPr>
            </w:pPr>
            <w:r>
              <w:t xml:space="preserve">La </w:t>
            </w:r>
            <w:r w:rsidR="0046515B">
              <w:t xml:space="preserve">norma </w:t>
            </w:r>
            <w:r>
              <w:t xml:space="preserve">applicabile ai guanti DPI </w:t>
            </w:r>
            <w:r w:rsidR="0046515B">
              <w:t>impone l’apposizione</w:t>
            </w:r>
            <w:r w:rsidR="00DE021D">
              <w:t xml:space="preserve"> </w:t>
            </w:r>
            <w:r w:rsidR="00DE021D" w:rsidRPr="0046515B">
              <w:t>della m</w:t>
            </w:r>
            <w:r w:rsidR="00DE021D">
              <w:t xml:space="preserve">arcatura CE </w:t>
            </w:r>
            <w:r w:rsidR="0046515B">
              <w:t xml:space="preserve">direttamente sul </w:t>
            </w:r>
            <w:r w:rsidR="003728E3">
              <w:t>ciascun guanto</w:t>
            </w:r>
            <w:r w:rsidR="007E68B4">
              <w:t>,</w:t>
            </w:r>
            <w:r w:rsidR="0046515B">
              <w:t xml:space="preserve"> </w:t>
            </w:r>
            <w:r w:rsidR="001C1ECA">
              <w:t xml:space="preserve">sostituibile da quella apposta </w:t>
            </w:r>
            <w:r w:rsidR="0046515B">
              <w:t>sull’imballaggio</w:t>
            </w:r>
            <w:r w:rsidR="00DE021D">
              <w:t xml:space="preserve"> </w:t>
            </w:r>
            <w:r w:rsidR="00ED0555">
              <w:t>del</w:t>
            </w:r>
            <w:r w:rsidR="003728E3">
              <w:t>l’articolo</w:t>
            </w:r>
            <w:r w:rsidR="00ED0555">
              <w:t xml:space="preserve"> </w:t>
            </w:r>
            <w:r w:rsidR="0046515B">
              <w:t xml:space="preserve">solo nel caso in cui </w:t>
            </w:r>
            <w:r w:rsidR="00DE021D">
              <w:t>sul prodotto risulti</w:t>
            </w:r>
            <w:r w:rsidR="0046515B">
              <w:t xml:space="preserve"> </w:t>
            </w:r>
            <w:r w:rsidR="0046515B" w:rsidRPr="0046515B">
              <w:t xml:space="preserve">impossibile </w:t>
            </w:r>
            <w:r w:rsidR="00DE021D">
              <w:t xml:space="preserve">tecnicamente </w:t>
            </w:r>
            <w:r w:rsidR="0046515B">
              <w:t xml:space="preserve">o </w:t>
            </w:r>
            <w:r w:rsidR="0046515B" w:rsidRPr="0046515B">
              <w:t>a condizioni ragionevoli dal punto di vista tecnico o economico</w:t>
            </w:r>
            <w:r w:rsidR="00DE021D">
              <w:t>, oppure non si possano garantire</w:t>
            </w:r>
            <w:r w:rsidR="0046515B" w:rsidRPr="0046515B">
              <w:t xml:space="preserve"> le dimensioni minime per l'apposizione</w:t>
            </w:r>
            <w:r w:rsidR="00D15188">
              <w:t xml:space="preserve"> (il marchio CE deve avere una dimensione minima di 5mm di lato)</w:t>
            </w:r>
            <w:r w:rsidR="0046515B" w:rsidRPr="0046515B">
              <w:t xml:space="preserve">, o </w:t>
            </w:r>
            <w:r w:rsidR="00DE021D">
              <w:t xml:space="preserve">ancora </w:t>
            </w:r>
            <w:r w:rsidR="0046515B" w:rsidRPr="0046515B">
              <w:t>non si p</w:t>
            </w:r>
            <w:r w:rsidR="00DE021D">
              <w:t>ossa</w:t>
            </w:r>
            <w:r w:rsidR="0046515B" w:rsidRPr="0046515B">
              <w:t xml:space="preserve"> garantire che la marcatura CE risulti v</w:t>
            </w:r>
            <w:r w:rsidR="00DE021D">
              <w:t xml:space="preserve">isibile, leggibile e indelebile, </w:t>
            </w:r>
            <w:r w:rsidR="00DE021D" w:rsidRPr="00D95470">
              <w:rPr>
                <w:b/>
              </w:rPr>
              <w:t xml:space="preserve">È NECESSARIO CHE IL DISTRIBUTORE SI ACCERTI DELLA PRESENZA DELLA MARCATURA CE DIRETTAMENTE </w:t>
            </w:r>
            <w:r w:rsidR="003728E3">
              <w:rPr>
                <w:b/>
              </w:rPr>
              <w:t>SU CIASCUN GUANTO</w:t>
            </w:r>
            <w:r w:rsidR="00DE021D" w:rsidRPr="00D95470">
              <w:rPr>
                <w:b/>
              </w:rPr>
              <w:t xml:space="preserve"> APRENDO ALMENO UNA CONFEZIONE</w:t>
            </w:r>
            <w:r w:rsidR="00064BDA">
              <w:rPr>
                <w:b/>
              </w:rPr>
              <w:t>. NON E’ DA RITENERSI CON</w:t>
            </w:r>
            <w:r w:rsidR="009A0C5F">
              <w:rPr>
                <w:b/>
              </w:rPr>
              <w:t>FORME L’APPOSIZIONE SUL PRODOTTO DELLA MARCATURA CE A MEZZO ADESIVI (mancanza del requisito di</w:t>
            </w:r>
            <w:r w:rsidR="007C46A8">
              <w:rPr>
                <w:b/>
              </w:rPr>
              <w:t xml:space="preserve"> marchio indelebile</w:t>
            </w:r>
            <w:r w:rsidR="009A0C5F">
              <w:rPr>
                <w:b/>
              </w:rPr>
              <w:t>).</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D95470" w:rsidRDefault="00710C8E" w:rsidP="00644E2C">
            <w:pPr>
              <w:jc w:val="both"/>
              <w:rPr>
                <w:b/>
              </w:rPr>
            </w:pPr>
            <w:r>
              <w:t xml:space="preserve">La norma impone che </w:t>
            </w:r>
            <w:r w:rsidR="00644E2C">
              <w:t xml:space="preserve">su </w:t>
            </w:r>
            <w:r>
              <w:t xml:space="preserve">ogni </w:t>
            </w:r>
            <w:r w:rsidR="003728E3">
              <w:t>guanto</w:t>
            </w:r>
            <w:r>
              <w:t xml:space="preserve">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D95470">
              <w:rPr>
                <w:b/>
              </w:rPr>
              <w:t xml:space="preserve">È NECESSARIO CHE IL </w:t>
            </w:r>
            <w:r w:rsidR="00864669" w:rsidRPr="00D95470">
              <w:rPr>
                <w:b/>
              </w:rPr>
              <w:lastRenderedPageBreak/>
              <w:t xml:space="preserve">DISTRIBUTORE SI ACCERTI DELLA PRESENZA DEL CODICE IDENTIFICATIVO DIRETTAMENTE </w:t>
            </w:r>
            <w:r w:rsidR="003728E3">
              <w:rPr>
                <w:b/>
              </w:rPr>
              <w:t>SU CIASCUN GUANTO</w:t>
            </w:r>
            <w:r w:rsidR="00864669" w:rsidRPr="00D95470">
              <w:rPr>
                <w:b/>
              </w:rPr>
              <w:t xml:space="preserve">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w:t>
            </w:r>
            <w:r w:rsidR="00C37B51">
              <w:t>lo stesso</w:t>
            </w:r>
            <w:r>
              <w:t xml:space="preserve">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in 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Pr="00D95470" w:rsidRDefault="00DE3D31" w:rsidP="00644E2C">
            <w:pPr>
              <w:jc w:val="both"/>
              <w:rPr>
                <w:b/>
              </w:rPr>
            </w:pPr>
            <w:r>
              <w:t xml:space="preserve">Anche in questo caso i dati riportati in confezione o su un documento che accompagna il prodotto </w:t>
            </w:r>
            <w:r w:rsidR="009A0C5F">
              <w:t xml:space="preserve">fino al consumatore finale </w:t>
            </w:r>
            <w:r>
              <w:t xml:space="preserve">possono sostituire quelli sul prodotto stesso solo in casi conclamati di impossibilità tecnica o economica, non per motivi di estetica, quindi </w:t>
            </w:r>
            <w:r w:rsidRPr="00D95470">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AE442C" w:rsidRDefault="00AE442C" w:rsidP="00AE442C">
            <w:pPr>
              <w:jc w:val="both"/>
              <w:rPr>
                <w:u w:val="single"/>
              </w:rPr>
            </w:pPr>
            <w:r w:rsidRPr="000A6908">
              <w:rPr>
                <w:u w:val="single"/>
              </w:rPr>
              <w:t>DATI DI TARGA OBBLIGATORI</w:t>
            </w:r>
            <w:r w:rsidR="000670D1">
              <w:rPr>
                <w:u w:val="single"/>
              </w:rPr>
              <w:t xml:space="preserve"> SU CIASCUN GUANTO</w:t>
            </w:r>
          </w:p>
          <w:p w:rsidR="00AE442C" w:rsidRDefault="00AE442C" w:rsidP="00AE442C">
            <w:pPr>
              <w:jc w:val="both"/>
            </w:pPr>
          </w:p>
          <w:p w:rsidR="00AE442C" w:rsidRDefault="00AE442C" w:rsidP="00AE442C">
            <w:pPr>
              <w:jc w:val="both"/>
            </w:pPr>
            <w:r>
              <w:t>La norma deriva la presunzione della conformità agli obiettivi di sicurezza di un DPI dalla conformità dello stesso alle norme armonizzate ad esso applicabili. Nel caso dei guanti di protezione la normativa tecnica ar</w:t>
            </w:r>
            <w:r w:rsidR="003B48F5">
              <w:t>monizzata UNI EN ISO 21420:2020</w:t>
            </w:r>
            <w:r>
              <w:t xml:space="preserve"> impone l’indicazione su ciascun guanto, in modo permanente al fine di rimanere visibili e leggibili per tutta la vita utile, i seguenti elementi:</w:t>
            </w:r>
          </w:p>
          <w:p w:rsidR="00AE442C" w:rsidRDefault="00AE442C" w:rsidP="00AE442C">
            <w:pPr>
              <w:jc w:val="both"/>
            </w:pPr>
          </w:p>
          <w:p w:rsidR="003B48F5" w:rsidRDefault="003B48F5" w:rsidP="00443E3E">
            <w:pPr>
              <w:pStyle w:val="Paragrafoelenco"/>
              <w:numPr>
                <w:ilvl w:val="0"/>
                <w:numId w:val="21"/>
              </w:numPr>
              <w:jc w:val="both"/>
            </w:pPr>
            <w:r>
              <w:t>nome o marchio del fabbricante;</w:t>
            </w:r>
          </w:p>
          <w:p w:rsidR="003B48F5" w:rsidRDefault="003B48F5" w:rsidP="00443E3E">
            <w:pPr>
              <w:pStyle w:val="Paragrafoelenco"/>
              <w:numPr>
                <w:ilvl w:val="0"/>
                <w:numId w:val="21"/>
              </w:numPr>
              <w:jc w:val="both"/>
            </w:pPr>
            <w:r>
              <w:t>codice identificativo del prodotto;</w:t>
            </w:r>
          </w:p>
          <w:p w:rsidR="00AE442C" w:rsidRDefault="00AE442C" w:rsidP="00443E3E">
            <w:pPr>
              <w:pStyle w:val="Paragrafoelenco"/>
              <w:numPr>
                <w:ilvl w:val="0"/>
                <w:numId w:val="21"/>
              </w:numPr>
              <w:jc w:val="both"/>
            </w:pPr>
            <w:r>
              <w:t>designazione della taglia del guanto;</w:t>
            </w:r>
          </w:p>
          <w:p w:rsidR="003B48F5" w:rsidRDefault="003B48F5" w:rsidP="00443E3E">
            <w:pPr>
              <w:pStyle w:val="Paragrafoelenco"/>
              <w:numPr>
                <w:ilvl w:val="0"/>
                <w:numId w:val="21"/>
              </w:numPr>
              <w:jc w:val="both"/>
            </w:pPr>
            <w:r>
              <w:t>pittogramma relativo ai rischi meccanici</w:t>
            </w:r>
            <w:r w:rsidR="00817606">
              <w:t xml:space="preserve"> (vedi immagine 1)</w:t>
            </w:r>
            <w:r>
              <w:t xml:space="preserve">, accompagnato dal riferimento alla norma UNI EN 388 e </w:t>
            </w:r>
            <w:r w:rsidR="00817606">
              <w:t>la codifica dei livelli di prestazione;</w:t>
            </w:r>
          </w:p>
          <w:p w:rsidR="00AE442C" w:rsidRPr="00AE442C" w:rsidRDefault="00AE442C" w:rsidP="00443E3E">
            <w:pPr>
              <w:pStyle w:val="Paragrafoelenco"/>
              <w:numPr>
                <w:ilvl w:val="0"/>
                <w:numId w:val="21"/>
              </w:numPr>
              <w:jc w:val="both"/>
            </w:pPr>
            <w:r>
              <w:t>data di produzione</w:t>
            </w:r>
          </w:p>
          <w:p w:rsidR="00AE442C" w:rsidRDefault="00AE442C" w:rsidP="00695FC3">
            <w:pPr>
              <w:jc w:val="both"/>
              <w:rPr>
                <w:u w:val="single"/>
              </w:rPr>
            </w:pPr>
          </w:p>
          <w:p w:rsidR="00AE442C" w:rsidRDefault="000670D1" w:rsidP="00695FC3">
            <w:pPr>
              <w:jc w:val="both"/>
            </w:pPr>
            <w:r w:rsidRPr="000670D1">
              <w:t>ove i guanti siano</w:t>
            </w:r>
            <w:r>
              <w:t xml:space="preserve"> contenuti in un involucro, lo stesso deve riportare:</w:t>
            </w:r>
          </w:p>
          <w:p w:rsidR="000670D1" w:rsidRDefault="000670D1" w:rsidP="00695FC3">
            <w:pPr>
              <w:jc w:val="both"/>
            </w:pPr>
          </w:p>
          <w:p w:rsidR="000670D1" w:rsidRDefault="000670D1" w:rsidP="00443E3E">
            <w:pPr>
              <w:pStyle w:val="Paragrafoelenco"/>
              <w:numPr>
                <w:ilvl w:val="0"/>
                <w:numId w:val="21"/>
              </w:numPr>
              <w:jc w:val="both"/>
            </w:pPr>
            <w:r>
              <w:t>gli estremi completi del fabb</w:t>
            </w:r>
            <w:r w:rsidR="00443E3E">
              <w:t>ricante e dell’importatore (nome o</w:t>
            </w:r>
            <w:r>
              <w:t xml:space="preserve"> marchio e indirizzo);</w:t>
            </w:r>
          </w:p>
          <w:p w:rsidR="000670D1" w:rsidRDefault="000670D1" w:rsidP="00443E3E">
            <w:pPr>
              <w:pStyle w:val="Paragrafoelenco"/>
              <w:numPr>
                <w:ilvl w:val="0"/>
                <w:numId w:val="21"/>
              </w:numPr>
              <w:jc w:val="both"/>
            </w:pPr>
            <w:r>
              <w:t>codice identificativo del prodotto;</w:t>
            </w:r>
          </w:p>
          <w:p w:rsidR="000670D1" w:rsidRDefault="000670D1" w:rsidP="00443E3E">
            <w:pPr>
              <w:pStyle w:val="Paragrafoelenco"/>
              <w:numPr>
                <w:ilvl w:val="0"/>
                <w:numId w:val="21"/>
              </w:numPr>
              <w:jc w:val="both"/>
            </w:pPr>
            <w:r>
              <w:t>designazione della taglia;</w:t>
            </w:r>
          </w:p>
          <w:p w:rsidR="00817606" w:rsidRDefault="00817606" w:rsidP="00443E3E">
            <w:pPr>
              <w:pStyle w:val="Paragrafoelenco"/>
              <w:numPr>
                <w:ilvl w:val="0"/>
                <w:numId w:val="21"/>
              </w:numPr>
              <w:jc w:val="both"/>
            </w:pPr>
            <w:r>
              <w:lastRenderedPageBreak/>
              <w:t>modalità per il recupero delle istruzioni;</w:t>
            </w:r>
          </w:p>
          <w:p w:rsidR="000670D1" w:rsidRPr="000670D1" w:rsidRDefault="00443E3E" w:rsidP="00443E3E">
            <w:pPr>
              <w:pStyle w:val="Paragrafoelenco"/>
              <w:numPr>
                <w:ilvl w:val="0"/>
                <w:numId w:val="21"/>
              </w:numPr>
              <w:jc w:val="both"/>
            </w:pPr>
            <w:r>
              <w:t>la dicitura “solo per rischi minimi” o equivalente;</w:t>
            </w:r>
          </w:p>
          <w:p w:rsidR="000A01B1" w:rsidRDefault="000A01B1" w:rsidP="00695FC3">
            <w:pPr>
              <w:jc w:val="both"/>
              <w:rPr>
                <w:u w:val="single"/>
              </w:rPr>
            </w:pPr>
            <w:r>
              <w:rPr>
                <w:noProof/>
                <w:u w:val="single"/>
                <w:lang w:eastAsia="it-IT"/>
              </w:rPr>
              <w:drawing>
                <wp:anchor distT="0" distB="0" distL="114300" distR="114300" simplePos="0" relativeHeight="251711488" behindDoc="0" locked="0" layoutInCell="1" allowOverlap="1" wp14:anchorId="213A3E68" wp14:editId="5278D540">
                  <wp:simplePos x="0" y="0"/>
                  <wp:positionH relativeFrom="column">
                    <wp:posOffset>161290</wp:posOffset>
                  </wp:positionH>
                  <wp:positionV relativeFrom="paragraph">
                    <wp:posOffset>46990</wp:posOffset>
                  </wp:positionV>
                  <wp:extent cx="1554480" cy="1828800"/>
                  <wp:effectExtent l="0" t="0" r="762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a meccanici.jpg"/>
                          <pic:cNvPicPr/>
                        </pic:nvPicPr>
                        <pic:blipFill>
                          <a:blip r:embed="rId13">
                            <a:extLst>
                              <a:ext uri="{28A0092B-C50C-407E-A947-70E740481C1C}">
                                <a14:useLocalDpi xmlns:a14="http://schemas.microsoft.com/office/drawing/2010/main" val="0"/>
                              </a:ext>
                            </a:extLst>
                          </a:blip>
                          <a:stretch>
                            <a:fillRect/>
                          </a:stretch>
                        </pic:blipFill>
                        <pic:spPr>
                          <a:xfrm>
                            <a:off x="0" y="0"/>
                            <a:ext cx="1554480" cy="1828800"/>
                          </a:xfrm>
                          <a:prstGeom prst="rect">
                            <a:avLst/>
                          </a:prstGeom>
                        </pic:spPr>
                      </pic:pic>
                    </a:graphicData>
                  </a:graphic>
                  <wp14:sizeRelH relativeFrom="page">
                    <wp14:pctWidth>0</wp14:pctWidth>
                  </wp14:sizeRelH>
                  <wp14:sizeRelV relativeFrom="page">
                    <wp14:pctHeight>0</wp14:pctHeight>
                  </wp14:sizeRelV>
                </wp:anchor>
              </w:drawing>
            </w:r>
          </w:p>
          <w:p w:rsidR="000A01B1" w:rsidRDefault="000A01B1" w:rsidP="00695FC3">
            <w:pPr>
              <w:jc w:val="both"/>
              <w:rPr>
                <w:u w:val="single"/>
              </w:rPr>
            </w:pPr>
          </w:p>
          <w:p w:rsidR="000A01B1" w:rsidRDefault="000A01B1" w:rsidP="00695FC3">
            <w:pPr>
              <w:jc w:val="both"/>
              <w:rPr>
                <w:u w:val="single"/>
              </w:rPr>
            </w:pPr>
          </w:p>
          <w:p w:rsidR="000A01B1" w:rsidRDefault="000A01B1" w:rsidP="00695FC3">
            <w:pPr>
              <w:jc w:val="both"/>
              <w:rPr>
                <w:u w:val="single"/>
              </w:rPr>
            </w:pPr>
          </w:p>
          <w:p w:rsidR="000A01B1" w:rsidRDefault="000A01B1" w:rsidP="00695FC3">
            <w:pPr>
              <w:jc w:val="both"/>
              <w:rPr>
                <w:u w:val="single"/>
              </w:rPr>
            </w:pPr>
          </w:p>
          <w:p w:rsidR="000A01B1" w:rsidRPr="000A01B1" w:rsidRDefault="000A01B1" w:rsidP="00695FC3">
            <w:pPr>
              <w:jc w:val="both"/>
            </w:pPr>
            <w:r w:rsidRPr="000759AA">
              <w:t xml:space="preserve">                                                       </w:t>
            </w:r>
            <w:r w:rsidRPr="000A01B1">
              <w:t>Fig. 1: pittogramma relativo ai rischi meccanici</w:t>
            </w:r>
          </w:p>
          <w:p w:rsidR="000A01B1" w:rsidRDefault="000A01B1" w:rsidP="00695FC3">
            <w:pPr>
              <w:jc w:val="both"/>
              <w:rPr>
                <w:u w:val="single"/>
              </w:rPr>
            </w:pPr>
          </w:p>
          <w:p w:rsidR="000A01B1" w:rsidRDefault="000A01B1" w:rsidP="00695FC3">
            <w:pPr>
              <w:jc w:val="both"/>
              <w:rPr>
                <w:u w:val="single"/>
              </w:rPr>
            </w:pPr>
          </w:p>
          <w:p w:rsidR="000A01B1" w:rsidRDefault="000A01B1" w:rsidP="00695FC3">
            <w:pPr>
              <w:jc w:val="both"/>
              <w:rPr>
                <w:u w:val="single"/>
              </w:rPr>
            </w:pPr>
            <w:bookmarkStart w:id="0" w:name="_GoBack"/>
            <w:bookmarkEnd w:id="0"/>
          </w:p>
          <w:p w:rsidR="000A01B1" w:rsidRDefault="000A01B1" w:rsidP="00695FC3">
            <w:pPr>
              <w:jc w:val="both"/>
              <w:rPr>
                <w:u w:val="single"/>
              </w:rPr>
            </w:pPr>
          </w:p>
          <w:p w:rsidR="000A01B1" w:rsidRDefault="000A01B1" w:rsidP="00695FC3">
            <w:pPr>
              <w:jc w:val="both"/>
              <w:rPr>
                <w:u w:val="single"/>
              </w:rPr>
            </w:pPr>
          </w:p>
          <w:p w:rsidR="000A01B1" w:rsidRDefault="000A01B1" w:rsidP="00695FC3">
            <w:pPr>
              <w:jc w:val="both"/>
              <w:rPr>
                <w:u w:val="single"/>
              </w:rPr>
            </w:pPr>
          </w:p>
          <w:p w:rsidR="00695FC3" w:rsidRPr="00FA0799" w:rsidRDefault="00695FC3" w:rsidP="00695FC3">
            <w:pPr>
              <w:jc w:val="both"/>
              <w:rPr>
                <w:u w:val="single"/>
              </w:rPr>
            </w:pPr>
            <w:r w:rsidRPr="00FA0799">
              <w:rPr>
                <w:u w:val="single"/>
              </w:rPr>
              <w:t>ISTRUZIONI IN LINGUA ITALIANA</w:t>
            </w:r>
          </w:p>
          <w:p w:rsidR="00695FC3" w:rsidRDefault="00695FC3" w:rsidP="00695FC3">
            <w:pPr>
              <w:jc w:val="both"/>
            </w:pPr>
          </w:p>
          <w:p w:rsidR="00494711" w:rsidRDefault="00695FC3" w:rsidP="00644E2C">
            <w:pPr>
              <w:jc w:val="both"/>
              <w:rPr>
                <w:b/>
              </w:rPr>
            </w:pPr>
            <w:r>
              <w:t>La norma im</w:t>
            </w:r>
            <w:r w:rsidR="006D500D">
              <w:t xml:space="preserve">pone che ogni esemplare di </w:t>
            </w:r>
            <w:r w:rsidR="00443E3E">
              <w:t>guanti protettivi</w:t>
            </w:r>
            <w:r>
              <w:t xml:space="preserve"> sia accompagnato da istruzioni e </w:t>
            </w:r>
            <w:r w:rsidR="000A6908">
              <w:t>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w:t>
            </w:r>
            <w:r w:rsidR="006D500D">
              <w:t xml:space="preserve"> </w:t>
            </w:r>
            <w:r w:rsidR="000A6908" w:rsidRPr="00D95470">
              <w:rPr>
                <w:b/>
              </w:rPr>
              <w:t>È NECESSARIO CHE IL DISTRIBUTORE SI ACCERTI DELLA PRESENZA DELLE ISTRUZIONI IN LINGUA ITALIANA APRENDO ALMENO UNA CONFEZIONE</w:t>
            </w:r>
          </w:p>
          <w:p w:rsidR="006D500D" w:rsidRDefault="006D500D" w:rsidP="00624ECA">
            <w:pPr>
              <w:shd w:val="clear" w:color="auto" w:fill="FFFFFF"/>
            </w:pPr>
          </w:p>
          <w:p w:rsidR="00443E3E" w:rsidRDefault="00443E3E" w:rsidP="00443E3E">
            <w:pPr>
              <w:shd w:val="clear" w:color="auto" w:fill="FFFFFF"/>
            </w:pPr>
            <w:r>
              <w:t>Le</w:t>
            </w:r>
            <w:r w:rsidRPr="00AC6EDC">
              <w:t xml:space="preserve"> istruzioni </w:t>
            </w:r>
            <w:r>
              <w:t xml:space="preserve">sulla sicurezza </w:t>
            </w:r>
            <w:r w:rsidRPr="001E733C">
              <w:t xml:space="preserve">devono </w:t>
            </w:r>
            <w:r>
              <w:t>indicare:</w:t>
            </w:r>
          </w:p>
          <w:p w:rsidR="001118F3" w:rsidRDefault="001118F3" w:rsidP="001118F3">
            <w:pPr>
              <w:shd w:val="clear" w:color="auto" w:fill="FFFFFF"/>
              <w:jc w:val="both"/>
            </w:pPr>
          </w:p>
          <w:p w:rsidR="00443E3E" w:rsidRDefault="00443E3E" w:rsidP="00443E3E">
            <w:pPr>
              <w:pStyle w:val="Paragrafoelenco"/>
              <w:numPr>
                <w:ilvl w:val="0"/>
                <w:numId w:val="21"/>
              </w:numPr>
              <w:jc w:val="both"/>
            </w:pPr>
            <w:r>
              <w:t>gli estremi completi del fabbricante e dell’importatore (nome o marchio e indirizzo);</w:t>
            </w:r>
          </w:p>
          <w:p w:rsidR="00443E3E" w:rsidRDefault="00443E3E" w:rsidP="00443E3E">
            <w:pPr>
              <w:pStyle w:val="Paragrafoelenco"/>
              <w:numPr>
                <w:ilvl w:val="0"/>
                <w:numId w:val="21"/>
              </w:numPr>
              <w:jc w:val="both"/>
            </w:pPr>
            <w:r>
              <w:t>codice identificativo del prodotto;</w:t>
            </w:r>
          </w:p>
          <w:p w:rsidR="00443E3E" w:rsidRDefault="00443E3E" w:rsidP="00443E3E">
            <w:pPr>
              <w:pStyle w:val="Paragrafoelenco"/>
              <w:numPr>
                <w:ilvl w:val="0"/>
                <w:numId w:val="21"/>
              </w:numPr>
              <w:jc w:val="both"/>
            </w:pPr>
            <w:r>
              <w:t>informazioni sulle taglie disponibili;</w:t>
            </w:r>
          </w:p>
          <w:p w:rsidR="00443E3E" w:rsidRDefault="00443E3E" w:rsidP="00443E3E">
            <w:pPr>
              <w:pStyle w:val="Paragrafoelenco"/>
              <w:numPr>
                <w:ilvl w:val="0"/>
                <w:numId w:val="21"/>
              </w:numPr>
              <w:shd w:val="clear" w:color="auto" w:fill="FFFFFF"/>
              <w:jc w:val="both"/>
            </w:pPr>
            <w:r>
              <w:t>l’uso previsto per i guanti e il riferimento alla norma UNI EN ISO 21420:2020</w:t>
            </w:r>
            <w:r w:rsidR="000A01B1">
              <w:t xml:space="preserve"> e alla norma EN 388:2016+A1:2018</w:t>
            </w:r>
            <w:r>
              <w:t>;</w:t>
            </w:r>
          </w:p>
          <w:p w:rsidR="000A01B1" w:rsidRDefault="000A01B1" w:rsidP="00443E3E">
            <w:pPr>
              <w:pStyle w:val="Paragrafoelenco"/>
              <w:numPr>
                <w:ilvl w:val="0"/>
                <w:numId w:val="21"/>
              </w:numPr>
              <w:shd w:val="clear" w:color="auto" w:fill="FFFFFF"/>
              <w:jc w:val="both"/>
            </w:pPr>
            <w:r>
              <w:t>il pittogramma relativo ai rischi meccanici con indicazione dei livelli di prestazione e una spiegazione di base per la comprensione dei livelli di prestazione pertinenti, in particolare, se presente una x tra i valori attribuiti devon</w:t>
            </w:r>
            <w:r w:rsidR="00D14B4E">
              <w:t>o essere presenti le spiegazioni relative a tale attribuzione;</w:t>
            </w:r>
          </w:p>
          <w:p w:rsidR="00D14B4E" w:rsidRDefault="00D14B4E" w:rsidP="00443E3E">
            <w:pPr>
              <w:pStyle w:val="Paragrafoelenco"/>
              <w:numPr>
                <w:ilvl w:val="0"/>
                <w:numId w:val="21"/>
              </w:numPr>
              <w:shd w:val="clear" w:color="auto" w:fill="FFFFFF"/>
              <w:jc w:val="both"/>
            </w:pPr>
            <w:r>
              <w:t>se applicabile, devono essere menzionate le avvertenze contro problemi in cui è possibile incorrere o le limitazioni d’uso (ad esempio per guanti antistrappo un’avvertenza per l’uso in prossimità di macchinari rotanti);</w:t>
            </w:r>
          </w:p>
          <w:p w:rsidR="00443E3E" w:rsidRDefault="00443E3E" w:rsidP="00443E3E">
            <w:pPr>
              <w:pStyle w:val="Paragrafoelenco"/>
              <w:numPr>
                <w:ilvl w:val="0"/>
                <w:numId w:val="21"/>
              </w:numPr>
              <w:shd w:val="clear" w:color="auto" w:fill="FFFFFF"/>
              <w:jc w:val="both"/>
            </w:pPr>
            <w:r>
              <w:t>se è noto che i materiali che costituiscono il guanto subiscono un calo di prestazioni</w:t>
            </w:r>
            <w:r w:rsidR="009C0A74">
              <w:t xml:space="preserve"> durante lo stoccaggio devono essere fornite indicazioni per il corretto stoccaggio;</w:t>
            </w:r>
          </w:p>
          <w:p w:rsidR="00D14B4E" w:rsidRDefault="00D14B4E" w:rsidP="00443E3E">
            <w:pPr>
              <w:pStyle w:val="Paragrafoelenco"/>
              <w:numPr>
                <w:ilvl w:val="0"/>
                <w:numId w:val="21"/>
              </w:numPr>
              <w:shd w:val="clear" w:color="auto" w:fill="FFFFFF"/>
              <w:jc w:val="both"/>
            </w:pPr>
            <w:r>
              <w:t>se è noto che le prestazioni di progettazione del guanto</w:t>
            </w:r>
            <w:r w:rsidR="00827CF2">
              <w:t xml:space="preserve"> possono essere significativamente influenzate dall’invecchiamento, </w:t>
            </w:r>
            <w:r w:rsidR="00827CF2">
              <w:lastRenderedPageBreak/>
              <w:t>devono essere fornite le informazioni necessarie per stabilire una data ragionevole di obsolescenza</w:t>
            </w:r>
            <w:r w:rsidR="007804B2">
              <w:t>;</w:t>
            </w:r>
          </w:p>
          <w:p w:rsidR="009C0A74" w:rsidRDefault="009C0A74" w:rsidP="00443E3E">
            <w:pPr>
              <w:pStyle w:val="Paragrafoelenco"/>
              <w:numPr>
                <w:ilvl w:val="0"/>
                <w:numId w:val="21"/>
              </w:numPr>
              <w:shd w:val="clear" w:color="auto" w:fill="FFFFFF"/>
              <w:jc w:val="both"/>
            </w:pPr>
            <w:r>
              <w:t>per i guanti contenenti gomma naturale l’avvertenza “il guanto contiene gomma naturale che può causare reazioni allergiche”;</w:t>
            </w:r>
          </w:p>
          <w:p w:rsidR="007804B2" w:rsidRDefault="007804B2" w:rsidP="00443E3E">
            <w:pPr>
              <w:pStyle w:val="Paragrafoelenco"/>
              <w:numPr>
                <w:ilvl w:val="0"/>
                <w:numId w:val="21"/>
              </w:numPr>
              <w:shd w:val="clear" w:color="auto" w:fill="FFFFFF"/>
              <w:jc w:val="both"/>
            </w:pPr>
            <w:r>
              <w:t>istruzioni relative a come indossare, sfilare e regolare i guanti, al mantenimento della comodità e dell’igiene della mano alla protezione dalla contaminazione della mano e , se applicabile, informazioni relative alla combinazione con altri DPI</w:t>
            </w:r>
          </w:p>
          <w:p w:rsidR="009C0A74" w:rsidRDefault="009C0A74" w:rsidP="00443E3E">
            <w:pPr>
              <w:pStyle w:val="Paragrafoelenco"/>
              <w:numPr>
                <w:ilvl w:val="0"/>
                <w:numId w:val="21"/>
              </w:numPr>
              <w:shd w:val="clear" w:color="auto" w:fill="FFFFFF"/>
              <w:jc w:val="both"/>
            </w:pPr>
            <w:r>
              <w:t>se la pulitura dei guanti non è raccomandata deve essere indicato che il guanto non è lavabile.</w:t>
            </w:r>
          </w:p>
          <w:p w:rsidR="00AE2EC5" w:rsidRPr="007E68B4" w:rsidRDefault="00AE2EC5" w:rsidP="00AE2EC5">
            <w:pPr>
              <w:pStyle w:val="Paragrafoelenco"/>
              <w:shd w:val="clear" w:color="auto" w:fill="FFFFFF"/>
              <w:jc w:val="both"/>
            </w:pP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Pr="00D95470" w:rsidRDefault="004D219C" w:rsidP="00BB1C7B">
            <w:pPr>
              <w:autoSpaceDE w:val="0"/>
              <w:autoSpaceDN w:val="0"/>
              <w:adjustRightInd w:val="0"/>
              <w:jc w:val="both"/>
              <w:rPr>
                <w:b/>
              </w:rPr>
            </w:pPr>
            <w:r w:rsidRPr="004D219C">
              <w:t>I distributori garantiscono ch</w:t>
            </w:r>
            <w:r w:rsidR="0031172D">
              <w:t xml:space="preserve">e, mentre un prodotto è </w:t>
            </w:r>
            <w:r>
              <w:t>sotto la loro responsabilità</w:t>
            </w:r>
            <w:r w:rsidR="0031172D">
              <w:t>, le</w:t>
            </w:r>
            <w:r w:rsidRPr="004D219C">
              <w:t xml:space="preserv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9E3DB2">
              <w:t>pesi</w:t>
            </w:r>
            <w:r w:rsidR="00AF7C2C">
              <w:t xml:space="preserve"> eccessivi </w:t>
            </w:r>
            <w:r w:rsidR="009E3DB2">
              <w:t>caricati sui</w:t>
            </w:r>
            <w:r w:rsidR="00AF7C2C">
              <w:t xml:space="preserve"> prodotti ne determinano un deterioramento che condiziona la conformità dei prodotti alla sicurezza ad ess</w:t>
            </w:r>
            <w:r w:rsidR="009E3DB2">
              <w:t>i</w:t>
            </w:r>
            <w:r w:rsidR="00AF7C2C">
              <w:t xml:space="preserve"> richiesta; la mancata conformità ascrivibile alle cattive condizioni di conservazione diventa imputabile al distributore</w:t>
            </w:r>
            <w:r w:rsidR="00856AE1">
              <w:t xml:space="preserve"> ove non sia dimostrabile </w:t>
            </w:r>
            <w:r w:rsidR="0031172D">
              <w:t>che dipende</w:t>
            </w:r>
            <w:r w:rsidR="00856AE1">
              <w:t xml:space="preserve"> da altri soggetti</w:t>
            </w:r>
            <w:r w:rsidR="009E3DB2">
              <w:t xml:space="preserve">; </w:t>
            </w:r>
            <w:r w:rsidR="00AF7C2C">
              <w:t xml:space="preserve">pertanto </w:t>
            </w:r>
            <w:r w:rsidR="00AF7C2C" w:rsidRPr="00D95470">
              <w:rPr>
                <w:b/>
              </w:rPr>
              <w:t xml:space="preserve">È NECESSARIO CHE IL DISTRIBUTORE </w:t>
            </w:r>
            <w:r w:rsidR="00856AE1" w:rsidRPr="00D95470">
              <w:rPr>
                <w:b/>
              </w:rPr>
              <w:t>SI ACCERTI DE</w:t>
            </w:r>
            <w:r w:rsidR="001C1ECA" w:rsidRPr="00D95470">
              <w:rPr>
                <w:b/>
              </w:rPr>
              <w:t xml:space="preserve">LL’INTEGRITA’ DELLE CONFEZIONI E </w:t>
            </w:r>
            <w:r w:rsidR="00856AE1" w:rsidRPr="00D95470">
              <w:rPr>
                <w:b/>
              </w:rPr>
              <w:t>DELLA MANCANZA DI SEGNI DI UMIDITA’ O SCOLORIMENTO DELLE STESSE</w:t>
            </w:r>
            <w:r w:rsidR="0031172D">
              <w:rPr>
                <w:b/>
              </w:rPr>
              <w:t xml:space="preserve"> O DIRETTAMENTE DEL PRODOTTO.</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Sulla base di quanto previsto per i controlli visivi obbligatori è necessario che il distributore apra almeno una confezione per o</w:t>
            </w:r>
            <w:r w:rsidR="00AF3C65">
              <w:t xml:space="preserve">gni </w:t>
            </w:r>
            <w:r w:rsidR="00381113">
              <w:t>prodotto</w:t>
            </w:r>
            <w:r w:rsidRPr="004D219C">
              <w:t xml:space="preserve">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B1C7B">
            <w:pPr>
              <w:pStyle w:val="Paragrafoelenco"/>
              <w:numPr>
                <w:ilvl w:val="0"/>
                <w:numId w:val="14"/>
              </w:numPr>
              <w:autoSpaceDE w:val="0"/>
              <w:autoSpaceDN w:val="0"/>
              <w:adjustRightInd w:val="0"/>
              <w:jc w:val="both"/>
            </w:pPr>
            <w:r>
              <w:t>RAGIONEVOLE QUALITÀ DEI M</w:t>
            </w:r>
            <w:r w:rsidR="002C7C57">
              <w:t xml:space="preserve">ATERIALI: i guanti di protezione </w:t>
            </w:r>
            <w:r w:rsidR="007804B2">
              <w:t>da rischi meccanici</w:t>
            </w:r>
            <w:r w:rsidR="00506D86">
              <w:t>, in qualità di DPI</w:t>
            </w:r>
            <w:r w:rsidR="00A65C79">
              <w:t xml:space="preserve">, hanno lo scopo di proteggere </w:t>
            </w:r>
            <w:r w:rsidR="002C7C57">
              <w:t>le mani</w:t>
            </w:r>
            <w:r w:rsidR="00A65C79">
              <w:t xml:space="preserve"> </w:t>
            </w:r>
            <w:r w:rsidR="002C7C57">
              <w:t>in maniera efficiente per un tempo relativamente lungo, quindi la presenza di fori, crepe, strappi, alterazioni del colore e simili difetti</w:t>
            </w:r>
            <w:r w:rsidR="00BD7C49">
              <w:t>,</w:t>
            </w:r>
            <w:r>
              <w:t xml:space="preserve"> </w:t>
            </w:r>
            <w:r w:rsidR="002C7C57">
              <w:t>sono da rilevare come una non conformità del prodotto di cui deve essere impedita la commercializzazione.</w:t>
            </w:r>
          </w:p>
          <w:p w:rsidR="00BC05E8" w:rsidRDefault="00BC05E8" w:rsidP="00BB1C7B">
            <w:pPr>
              <w:pStyle w:val="Paragrafoelenco"/>
              <w:numPr>
                <w:ilvl w:val="0"/>
                <w:numId w:val="14"/>
              </w:numPr>
              <w:autoSpaceDE w:val="0"/>
              <w:autoSpaceDN w:val="0"/>
              <w:adjustRightInd w:val="0"/>
              <w:jc w:val="both"/>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w:t>
            </w:r>
            <w:r w:rsidR="00236C55">
              <w:t xml:space="preserve"> </w:t>
            </w:r>
            <w:r w:rsidR="009C3FFC">
              <w:t>(ad esempio C ed E molto ravvicinati o allungati) e che il marchio</w:t>
            </w:r>
            <w:r w:rsidR="004D1159">
              <w:t xml:space="preserve"> abbi</w:t>
            </w:r>
            <w:r w:rsidR="009C3FFC">
              <w:t>a una dimensione minima di 5 mm:</w:t>
            </w:r>
          </w:p>
          <w:p w:rsidR="009C3FFC" w:rsidRDefault="000E6D6E" w:rsidP="009C3FFC">
            <w:pPr>
              <w:pStyle w:val="Paragrafoelenco"/>
              <w:autoSpaceDE w:val="0"/>
              <w:autoSpaceDN w:val="0"/>
              <w:adjustRightInd w:val="0"/>
            </w:pPr>
            <w:r>
              <w:rPr>
                <w:noProof/>
                <w:lang w:eastAsia="it-IT"/>
              </w:rPr>
              <w:drawing>
                <wp:anchor distT="0" distB="0" distL="114300" distR="114300" simplePos="0" relativeHeight="251689984" behindDoc="0" locked="0" layoutInCell="1" allowOverlap="1" wp14:anchorId="408C6D67" wp14:editId="664DCCAD">
                  <wp:simplePos x="0" y="0"/>
                  <wp:positionH relativeFrom="column">
                    <wp:posOffset>2931795</wp:posOffset>
                  </wp:positionH>
                  <wp:positionV relativeFrom="paragraph">
                    <wp:posOffset>-4445</wp:posOffset>
                  </wp:positionV>
                  <wp:extent cx="1181100" cy="699135"/>
                  <wp:effectExtent l="0" t="0" r="0" b="5715"/>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4D1159" w:rsidRDefault="004D1159" w:rsidP="004D1159">
            <w:pPr>
              <w:pStyle w:val="Paragrafoelenco"/>
              <w:autoSpaceDE w:val="0"/>
              <w:autoSpaceDN w:val="0"/>
              <w:adjustRightInd w:val="0"/>
            </w:pPr>
          </w:p>
          <w:p w:rsidR="00F3630B" w:rsidRDefault="00F3630B" w:rsidP="004D1159">
            <w:pPr>
              <w:pStyle w:val="Paragrafoelenco"/>
              <w:autoSpaceDE w:val="0"/>
              <w:autoSpaceDN w:val="0"/>
              <w:adjustRightInd w:val="0"/>
            </w:pPr>
          </w:p>
          <w:p w:rsidR="00F3630B" w:rsidRDefault="00F3630B" w:rsidP="004D1159">
            <w:pPr>
              <w:pStyle w:val="Paragrafoelenco"/>
              <w:autoSpaceDE w:val="0"/>
              <w:autoSpaceDN w:val="0"/>
              <w:adjustRightInd w:val="0"/>
            </w:pPr>
          </w:p>
          <w:p w:rsidR="00F3630B" w:rsidRDefault="00F3630B" w:rsidP="004D1159">
            <w:pPr>
              <w:pStyle w:val="Paragrafoelenco"/>
              <w:autoSpaceDE w:val="0"/>
              <w:autoSpaceDN w:val="0"/>
              <w:adjustRightInd w:val="0"/>
            </w:pPr>
            <w:r>
              <w:t xml:space="preserve">Si ricorda che non sono ammessi marchi CE applicati al prodotto mediante etichette adesive </w:t>
            </w:r>
          </w:p>
          <w:p w:rsidR="00B83E4F" w:rsidRDefault="00B83E4F" w:rsidP="004D1159">
            <w:pPr>
              <w:pStyle w:val="Paragrafoelenco"/>
              <w:autoSpaceDE w:val="0"/>
              <w:autoSpaceDN w:val="0"/>
              <w:adjustRightInd w:val="0"/>
            </w:pPr>
          </w:p>
          <w:p w:rsidR="00770DFD" w:rsidRDefault="008246D3" w:rsidP="00BD7C49">
            <w:pPr>
              <w:jc w:val="both"/>
            </w:pPr>
            <w:r>
              <w:t xml:space="preserve">SE UN PRODOTTO NON SUPERA IN MANIERA SODDISFACENTE TUTTI E </w:t>
            </w:r>
            <w:r w:rsidR="00BD7C49">
              <w:t>DUE</w:t>
            </w:r>
            <w:r>
              <w:t xml:space="preserv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tc>
      </w:tr>
      <w:tr w:rsidR="00B83E4F" w:rsidTr="004A20A2">
        <w:tc>
          <w:tcPr>
            <w:tcW w:w="1188" w:type="pct"/>
            <w:shd w:val="clear" w:color="auto" w:fill="auto"/>
          </w:tcPr>
          <w:p w:rsidR="00B83E4F" w:rsidRDefault="00B83E4F" w:rsidP="004A20A2">
            <w:pPr>
              <w:jc w:val="both"/>
            </w:pPr>
            <w:r>
              <w:lastRenderedPageBreak/>
              <w:t>Fac-simile di etichetta</w:t>
            </w:r>
          </w:p>
          <w:p w:rsidR="00B83E4F" w:rsidRDefault="00B83E4F" w:rsidP="004A20A2">
            <w:pPr>
              <w:jc w:val="both"/>
            </w:pPr>
            <w:r>
              <w:t>esempio di etichetta riportante il contenuto minimo informativo previsto dalla norma</w:t>
            </w:r>
          </w:p>
        </w:tc>
        <w:tc>
          <w:tcPr>
            <w:tcW w:w="3812" w:type="pct"/>
            <w:shd w:val="clear" w:color="auto" w:fill="auto"/>
          </w:tcPr>
          <w:p w:rsidR="00B83E4F" w:rsidRDefault="0036107B" w:rsidP="004A20A2">
            <w:pPr>
              <w:spacing w:after="60"/>
              <w:jc w:val="both"/>
              <w:rPr>
                <w:u w:val="single"/>
              </w:rPr>
            </w:pPr>
            <w:r>
              <w:rPr>
                <w:noProof/>
                <w:u w:val="single"/>
                <w:lang w:eastAsia="it-IT"/>
              </w:rPr>
              <w:drawing>
                <wp:anchor distT="0" distB="0" distL="114300" distR="114300" simplePos="0" relativeHeight="251708416" behindDoc="0" locked="0" layoutInCell="1" allowOverlap="1" wp14:anchorId="0BA5C818" wp14:editId="71F9FD09">
                  <wp:simplePos x="0" y="0"/>
                  <wp:positionH relativeFrom="column">
                    <wp:posOffset>938258</wp:posOffset>
                  </wp:positionH>
                  <wp:positionV relativeFrom="paragraph">
                    <wp:posOffset>3720</wp:posOffset>
                  </wp:positionV>
                  <wp:extent cx="5292096" cy="2271237"/>
                  <wp:effectExtent l="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fisso int.jpg"/>
                          <pic:cNvPicPr/>
                        </pic:nvPicPr>
                        <pic:blipFill>
                          <a:blip r:embed="rId15">
                            <a:extLst>
                              <a:ext uri="{28A0092B-C50C-407E-A947-70E740481C1C}">
                                <a14:useLocalDpi xmlns:a14="http://schemas.microsoft.com/office/drawing/2010/main" val="0"/>
                              </a:ext>
                            </a:extLst>
                          </a:blip>
                          <a:stretch>
                            <a:fillRect/>
                          </a:stretch>
                        </pic:blipFill>
                        <pic:spPr>
                          <a:xfrm>
                            <a:off x="0" y="0"/>
                            <a:ext cx="5292096" cy="2271237"/>
                          </a:xfrm>
                          <a:prstGeom prst="rect">
                            <a:avLst/>
                          </a:prstGeom>
                        </pic:spPr>
                      </pic:pic>
                    </a:graphicData>
                  </a:graphic>
                  <wp14:sizeRelH relativeFrom="page">
                    <wp14:pctWidth>0</wp14:pctWidth>
                  </wp14:sizeRelH>
                  <wp14:sizeRelV relativeFrom="page">
                    <wp14:pctHeight>0</wp14:pctHeight>
                  </wp14:sizeRelV>
                </wp:anchor>
              </w:drawing>
            </w:r>
          </w:p>
          <w:p w:rsidR="00B83E4F" w:rsidRDefault="00B83E4F" w:rsidP="004A20A2">
            <w:pPr>
              <w:spacing w:after="60"/>
              <w:jc w:val="both"/>
              <w:rPr>
                <w:u w:val="single"/>
              </w:rPr>
            </w:pPr>
          </w:p>
          <w:p w:rsidR="00B83E4F" w:rsidRDefault="00B83E4F" w:rsidP="004A20A2">
            <w:pPr>
              <w:spacing w:after="60"/>
              <w:jc w:val="both"/>
              <w:rPr>
                <w:u w:val="single"/>
              </w:rPr>
            </w:pPr>
          </w:p>
          <w:p w:rsidR="00B83E4F" w:rsidRDefault="00B83E4F" w:rsidP="004A20A2">
            <w:pPr>
              <w:spacing w:after="60"/>
              <w:jc w:val="both"/>
              <w:rPr>
                <w:u w:val="single"/>
              </w:rPr>
            </w:pPr>
          </w:p>
          <w:p w:rsidR="00B83E4F" w:rsidRDefault="00B83E4F" w:rsidP="004A20A2">
            <w:pPr>
              <w:spacing w:after="60"/>
              <w:jc w:val="both"/>
              <w:rPr>
                <w:u w:val="single"/>
              </w:rPr>
            </w:pPr>
          </w:p>
          <w:p w:rsidR="00B83E4F" w:rsidRDefault="00B83E4F" w:rsidP="004A20A2">
            <w:pPr>
              <w:spacing w:after="60"/>
              <w:jc w:val="both"/>
              <w:rPr>
                <w:u w:val="single"/>
              </w:rPr>
            </w:pPr>
          </w:p>
          <w:p w:rsidR="00B83E4F" w:rsidRDefault="00B83E4F" w:rsidP="004A20A2">
            <w:pPr>
              <w:spacing w:after="60"/>
              <w:jc w:val="both"/>
              <w:rPr>
                <w:u w:val="single"/>
              </w:rPr>
            </w:pPr>
          </w:p>
          <w:p w:rsidR="00F13245" w:rsidRDefault="00F13245" w:rsidP="004A20A2">
            <w:pPr>
              <w:spacing w:after="60"/>
              <w:jc w:val="both"/>
              <w:rPr>
                <w:u w:val="single"/>
              </w:rPr>
            </w:pPr>
          </w:p>
          <w:p w:rsidR="00F13245" w:rsidRDefault="00F13245" w:rsidP="004A20A2">
            <w:pPr>
              <w:spacing w:after="60"/>
              <w:jc w:val="both"/>
              <w:rPr>
                <w:u w:val="single"/>
              </w:rPr>
            </w:pPr>
          </w:p>
          <w:p w:rsidR="00B83E4F" w:rsidRDefault="00B83E4F" w:rsidP="004A20A2">
            <w:pPr>
              <w:spacing w:after="60"/>
              <w:jc w:val="both"/>
              <w:rPr>
                <w:u w:val="single"/>
              </w:rPr>
            </w:pPr>
          </w:p>
          <w:p w:rsidR="00B83E4F" w:rsidRPr="00AE503E" w:rsidRDefault="00B83E4F" w:rsidP="004A20A2">
            <w:pPr>
              <w:spacing w:after="60"/>
              <w:jc w:val="both"/>
              <w:rPr>
                <w:u w:val="single"/>
              </w:rPr>
            </w:pPr>
          </w:p>
        </w:tc>
      </w:tr>
      <w:tr w:rsidR="00B83E4F" w:rsidTr="00CF4B55">
        <w:tc>
          <w:tcPr>
            <w:tcW w:w="1188" w:type="pct"/>
          </w:tcPr>
          <w:p w:rsidR="00B83E4F" w:rsidRDefault="00B83E4F" w:rsidP="00CF4B55">
            <w:pPr>
              <w:jc w:val="both"/>
            </w:pPr>
          </w:p>
        </w:tc>
        <w:tc>
          <w:tcPr>
            <w:tcW w:w="3812" w:type="pct"/>
          </w:tcPr>
          <w:p w:rsidR="00B83E4F" w:rsidRPr="0049334B" w:rsidRDefault="00B83E4F" w:rsidP="0049334B">
            <w:pPr>
              <w:jc w:val="both"/>
              <w:rPr>
                <w:b/>
              </w:rPr>
            </w:pPr>
          </w:p>
        </w:tc>
      </w:tr>
      <w:tr w:rsidR="00802B0F" w:rsidTr="00CF4B55">
        <w:tc>
          <w:tcPr>
            <w:tcW w:w="1188" w:type="pct"/>
          </w:tcPr>
          <w:p w:rsidR="00802B0F" w:rsidRPr="009C3208" w:rsidRDefault="00802B0F" w:rsidP="00CF4B55">
            <w:pPr>
              <w:jc w:val="both"/>
            </w:pPr>
            <w:r>
              <w:t xml:space="preserve">Riferimenti alle norme comunitarie </w:t>
            </w:r>
            <w:r w:rsidRPr="009C3208">
              <w:t>applicabili</w:t>
            </w:r>
          </w:p>
        </w:tc>
        <w:tc>
          <w:tcPr>
            <w:tcW w:w="3812" w:type="pct"/>
          </w:tcPr>
          <w:p w:rsidR="009E612E" w:rsidRDefault="00BD7C49" w:rsidP="0049334B">
            <w:pPr>
              <w:jc w:val="both"/>
            </w:pPr>
            <w:r w:rsidRPr="0049334B">
              <w:rPr>
                <w:b/>
              </w:rPr>
              <w:t>Regolamento UE 2016/425</w:t>
            </w:r>
            <w:r w:rsidR="00802B0F">
              <w:t xml:space="preserve"> </w:t>
            </w:r>
            <w:r w:rsidR="00802B0F" w:rsidRPr="009C3208">
              <w:t>(</w:t>
            </w:r>
            <w:r>
              <w:t>Dispositivi di Protezione Individuale)</w:t>
            </w:r>
          </w:p>
        </w:tc>
      </w:tr>
      <w:tr w:rsidR="00802B0F" w:rsidTr="00CF4B55">
        <w:tc>
          <w:tcPr>
            <w:tcW w:w="1188" w:type="pct"/>
          </w:tcPr>
          <w:p w:rsidR="00802B0F" w:rsidRPr="009C3208" w:rsidRDefault="00802B0F" w:rsidP="00CF4B55">
            <w:pPr>
              <w:jc w:val="both"/>
            </w:pPr>
            <w:r>
              <w:t>Riferimenti alle norme nazionali applicabili</w:t>
            </w:r>
          </w:p>
        </w:tc>
        <w:tc>
          <w:tcPr>
            <w:tcW w:w="3812" w:type="pct"/>
          </w:tcPr>
          <w:p w:rsidR="002A4A4E" w:rsidRDefault="00802B0F" w:rsidP="0049334B">
            <w:pPr>
              <w:jc w:val="both"/>
            </w:pPr>
            <w:r w:rsidRPr="0049334B">
              <w:rPr>
                <w:b/>
              </w:rPr>
              <w:t xml:space="preserve">Decreto Legislativo </w:t>
            </w:r>
            <w:r w:rsidR="00F3630B" w:rsidRPr="0049334B">
              <w:rPr>
                <w:b/>
              </w:rPr>
              <w:t>04 dicembre 1992</w:t>
            </w:r>
            <w:r w:rsidRPr="0049334B">
              <w:rPr>
                <w:b/>
              </w:rPr>
              <w:t xml:space="preserve">, n. </w:t>
            </w:r>
            <w:r w:rsidR="00F3630B" w:rsidRPr="0049334B">
              <w:rPr>
                <w:b/>
              </w:rPr>
              <w:t>475</w:t>
            </w:r>
            <w:r>
              <w:t xml:space="preserve"> (</w:t>
            </w:r>
            <w:r w:rsidR="00F3630B">
              <w:t xml:space="preserve">modificato dal </w:t>
            </w:r>
            <w:proofErr w:type="spellStart"/>
            <w:r w:rsidR="00F3630B">
              <w:t>D.Lgs</w:t>
            </w:r>
            <w:proofErr w:type="spellEnd"/>
            <w:r w:rsidR="00F3630B">
              <w:t xml:space="preserve"> 17/2019)</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C43E63" w:rsidRPr="00F13245" w:rsidRDefault="00426CE6" w:rsidP="00F13245">
            <w:pPr>
              <w:pStyle w:val="Paragrafoelenco"/>
              <w:numPr>
                <w:ilvl w:val="0"/>
                <w:numId w:val="22"/>
              </w:numPr>
              <w:jc w:val="both"/>
              <w:rPr>
                <w:b/>
              </w:rPr>
            </w:pPr>
            <w:r w:rsidRPr="00F13245">
              <w:rPr>
                <w:b/>
              </w:rPr>
              <w:t xml:space="preserve">UNI EN ISO </w:t>
            </w:r>
            <w:r w:rsidR="00B83E4F" w:rsidRPr="00F13245">
              <w:rPr>
                <w:b/>
              </w:rPr>
              <w:t>21420:2020</w:t>
            </w:r>
            <w:r w:rsidRPr="00F13245">
              <w:rPr>
                <w:b/>
              </w:rPr>
              <w:t xml:space="preserve"> </w:t>
            </w:r>
            <w:r w:rsidR="00B83E4F" w:rsidRPr="00F13245">
              <w:rPr>
                <w:b/>
              </w:rPr>
              <w:t>– Guanti di protezione – Requisiti generali e metodi di prova</w:t>
            </w:r>
          </w:p>
          <w:p w:rsidR="00F13245" w:rsidRPr="00F13245" w:rsidRDefault="007B04E7" w:rsidP="00F13245">
            <w:pPr>
              <w:pStyle w:val="Paragrafoelenco"/>
              <w:numPr>
                <w:ilvl w:val="0"/>
                <w:numId w:val="22"/>
              </w:numPr>
              <w:jc w:val="both"/>
              <w:rPr>
                <w:i/>
              </w:rPr>
            </w:pPr>
            <w:r>
              <w:rPr>
                <w:b/>
              </w:rPr>
              <w:t xml:space="preserve">UNI </w:t>
            </w:r>
            <w:r w:rsidR="00F13245" w:rsidRPr="00F13245">
              <w:rPr>
                <w:b/>
              </w:rPr>
              <w:t>EN 388:2016+A1:2018</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0759AA" w:rsidP="00CF4B55">
            <w:pPr>
              <w:ind w:left="35"/>
              <w:jc w:val="both"/>
              <w:rPr>
                <w:b/>
              </w:rPr>
            </w:pPr>
            <w:hyperlink r:id="rId16"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Poiché ai sensi dell’art.</w:t>
            </w:r>
            <w:r w:rsidR="00426CE6">
              <w:t xml:space="preserve"> 11</w:t>
            </w:r>
            <w:r>
              <w:t xml:space="preserve"> del </w:t>
            </w:r>
            <w:r w:rsidR="00426CE6">
              <w:t>Regolamento UE 2016/425</w:t>
            </w:r>
            <w:r>
              <w:t xml:space="preserve"> i distributori prima di mettere </w:t>
            </w:r>
            <w:r w:rsidR="00B83E4F">
              <w:t>guanti di protezione</w:t>
            </w:r>
            <w:r>
              <w:t xml:space="preserve"> a disposizione</w:t>
            </w:r>
            <w:r w:rsidR="00933CD4">
              <w:t xml:space="preserve"> sul mercato assicurano che essi</w:t>
            </w:r>
            <w:r>
              <w:t>:</w:t>
            </w:r>
          </w:p>
          <w:p w:rsidR="00802B0F" w:rsidRDefault="00802B0F" w:rsidP="00CF4B55">
            <w:pPr>
              <w:jc w:val="both"/>
            </w:pPr>
          </w:p>
          <w:p w:rsidR="00802B0F" w:rsidRDefault="00802B0F" w:rsidP="00802B0F">
            <w:pPr>
              <w:pStyle w:val="Paragrafoelenco"/>
              <w:numPr>
                <w:ilvl w:val="0"/>
                <w:numId w:val="10"/>
              </w:numPr>
              <w:ind w:left="459" w:hanging="426"/>
              <w:jc w:val="both"/>
            </w:pPr>
            <w:r>
              <w:t>rechi</w:t>
            </w:r>
            <w:r w:rsidR="00933CD4">
              <w:t>no</w:t>
            </w:r>
            <w:r>
              <w:t xml:space="preserve"> la marcatura CE</w:t>
            </w:r>
          </w:p>
          <w:p w:rsidR="00802B0F" w:rsidRDefault="00802B0F" w:rsidP="00802B0F">
            <w:pPr>
              <w:pStyle w:val="Paragrafoelenco"/>
              <w:numPr>
                <w:ilvl w:val="0"/>
                <w:numId w:val="10"/>
              </w:numPr>
              <w:ind w:left="459" w:hanging="426"/>
              <w:jc w:val="both"/>
            </w:pPr>
            <w:r>
              <w:t>sia</w:t>
            </w:r>
            <w:r w:rsidR="00933CD4">
              <w:t>no accompagnati</w:t>
            </w:r>
            <w:r>
              <w:t xml:space="preserve">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lastRenderedPageBreak/>
              <w:t>rechi</w:t>
            </w:r>
            <w:r w:rsidR="00933CD4">
              <w:t>no</w:t>
            </w:r>
            <w:r>
              <w:t xml:space="preserve"> gli estremi del fabbricante</w:t>
            </w:r>
          </w:p>
          <w:p w:rsidR="00802B0F" w:rsidRDefault="00802B0F" w:rsidP="00802B0F">
            <w:pPr>
              <w:pStyle w:val="Paragrafoelenco"/>
              <w:numPr>
                <w:ilvl w:val="0"/>
                <w:numId w:val="10"/>
              </w:numPr>
              <w:ind w:left="459" w:hanging="426"/>
              <w:jc w:val="both"/>
            </w:pPr>
            <w:r>
              <w:t>rechi</w:t>
            </w:r>
            <w:r w:rsidR="00933CD4">
              <w:t>no</w:t>
            </w:r>
            <w:r>
              <w:t xml:space="preserve"> gli estremi dell’importatore (se applicabile)</w:t>
            </w:r>
          </w:p>
          <w:p w:rsidR="00802B0F" w:rsidRDefault="00802B0F" w:rsidP="00802B0F">
            <w:pPr>
              <w:pStyle w:val="Paragrafoelenco"/>
              <w:numPr>
                <w:ilvl w:val="0"/>
                <w:numId w:val="10"/>
              </w:numPr>
              <w:ind w:left="459" w:hanging="426"/>
              <w:jc w:val="both"/>
            </w:pPr>
            <w:r>
              <w:t>rechi</w:t>
            </w:r>
            <w:r w:rsidR="00933CD4">
              <w:t>no</w:t>
            </w:r>
            <w:r>
              <w:t xml:space="preserve"> un codice identificativo</w:t>
            </w:r>
          </w:p>
          <w:p w:rsidR="00802B0F" w:rsidRDefault="00802B0F" w:rsidP="00CF4B55">
            <w:pPr>
              <w:jc w:val="both"/>
            </w:pPr>
          </w:p>
          <w:p w:rsidR="00D526C4" w:rsidRDefault="00D526C4" w:rsidP="00D526C4">
            <w:pPr>
              <w:jc w:val="both"/>
            </w:pPr>
            <w:r>
              <w:t xml:space="preserve">il mancato rispetto degli obblighi precedenti da parte di un distributore è punito con una sanzione amministrativa pecuniaria da </w:t>
            </w:r>
            <w:r w:rsidR="003307B4" w:rsidRPr="003307B4">
              <w:rPr>
                <w:b/>
              </w:rPr>
              <w:t>1</w:t>
            </w:r>
            <w:r w:rsidR="0049334B">
              <w:rPr>
                <w:b/>
              </w:rPr>
              <w:t>.</w:t>
            </w:r>
            <w:r w:rsidR="003307B4" w:rsidRPr="003307B4">
              <w:rPr>
                <w:b/>
              </w:rPr>
              <w:t>0</w:t>
            </w:r>
            <w:r>
              <w:rPr>
                <w:b/>
              </w:rPr>
              <w:t xml:space="preserve">00 € </w:t>
            </w:r>
            <w:r>
              <w:t>a</w:t>
            </w:r>
            <w:r>
              <w:rPr>
                <w:b/>
              </w:rPr>
              <w:t xml:space="preserve"> </w:t>
            </w:r>
            <w:r w:rsidR="003307B4">
              <w:rPr>
                <w:b/>
              </w:rPr>
              <w:t>6</w:t>
            </w:r>
            <w:r>
              <w:rPr>
                <w:b/>
              </w:rPr>
              <w:t>.000 €</w:t>
            </w:r>
            <w:r>
              <w:t xml:space="preserve"> (Art.14.</w:t>
            </w:r>
            <w:r w:rsidR="003307B4">
              <w:t>2.a</w:t>
            </w:r>
            <w:r>
              <w:t xml:space="preserve"> </w:t>
            </w:r>
            <w:proofErr w:type="spellStart"/>
            <w:r>
              <w:t>D.Lgs</w:t>
            </w:r>
            <w:proofErr w:type="spellEnd"/>
            <w:r>
              <w:t xml:space="preserve"> </w:t>
            </w:r>
            <w:r w:rsidR="003307B4">
              <w:t>475/2019</w:t>
            </w:r>
            <w:r>
              <w:t>).</w:t>
            </w:r>
          </w:p>
          <w:p w:rsidR="00802B0F" w:rsidRDefault="00802B0F" w:rsidP="00CF4B55">
            <w:pPr>
              <w:jc w:val="both"/>
            </w:pPr>
          </w:p>
          <w:p w:rsidR="00802B0F" w:rsidRPr="003307B4" w:rsidRDefault="009E612E" w:rsidP="003307B4">
            <w:pPr>
              <w:rPr>
                <w:rFonts w:ascii="Times New Roman" w:hAnsi="Times New Roman" w:cs="Times New Roman"/>
                <w:sz w:val="24"/>
                <w:szCs w:val="24"/>
                <w:lang w:eastAsia="it-IT"/>
              </w:rPr>
            </w:pPr>
            <w:r>
              <w:t>S</w:t>
            </w:r>
            <w:r w:rsidR="00802B0F">
              <w:t>alvo che il fatto costituisca reato, il distributore che effettua la messa a disposizione sul mercato di pr</w:t>
            </w:r>
            <w:r w:rsidR="003307B4">
              <w:t>odotti</w:t>
            </w:r>
            <w:r w:rsidR="00802B0F">
              <w:t xml:space="preserve"> in violazione di un provvedimento di divieto emesso dall’Autorità di vigilanza, è soggetto ad una sanzione amministrativa pecuniaria di una somma da </w:t>
            </w:r>
            <w:r w:rsidR="003307B4">
              <w:rPr>
                <w:b/>
              </w:rPr>
              <w:t>8</w:t>
            </w:r>
            <w:r w:rsidR="0049334B">
              <w:rPr>
                <w:b/>
              </w:rPr>
              <w:t>.</w:t>
            </w:r>
            <w:r w:rsidR="003307B4">
              <w:rPr>
                <w:b/>
              </w:rPr>
              <w:t>000</w:t>
            </w:r>
            <w:r w:rsidR="00802B0F" w:rsidRPr="00DA05AC">
              <w:rPr>
                <w:b/>
              </w:rPr>
              <w:t xml:space="preserve"> € </w:t>
            </w:r>
            <w:r w:rsidR="00802B0F" w:rsidRPr="00DA05AC">
              <w:t>a</w:t>
            </w:r>
            <w:r w:rsidR="00802B0F" w:rsidRPr="00DA05AC">
              <w:rPr>
                <w:b/>
              </w:rPr>
              <w:t xml:space="preserve"> </w:t>
            </w:r>
            <w:r w:rsidR="003307B4">
              <w:rPr>
                <w:b/>
              </w:rPr>
              <w:t>48.000</w:t>
            </w:r>
            <w:r w:rsidR="00802B0F" w:rsidRPr="00DA05AC">
              <w:rPr>
                <w:b/>
              </w:rPr>
              <w:t xml:space="preserve"> € </w:t>
            </w:r>
            <w:r w:rsidR="003307B4">
              <w:t xml:space="preserve">(Art.14.8 </w:t>
            </w:r>
            <w:proofErr w:type="spellStart"/>
            <w:r w:rsidR="003307B4">
              <w:t>D.Lgs</w:t>
            </w:r>
            <w:proofErr w:type="spellEnd"/>
            <w:r w:rsidR="003307B4">
              <w:t xml:space="preserve"> 475/2019</w:t>
            </w:r>
            <w:r w:rsidR="0007490D">
              <w:t>)</w:t>
            </w:r>
            <w:r w:rsidR="0007490D">
              <w:rPr>
                <w:rFonts w:ascii="Times New Roman" w:hAnsi="Times New Roman" w:cs="Times New Roman"/>
                <w:sz w:val="24"/>
                <w:szCs w:val="24"/>
                <w:lang w:eastAsia="it-IT"/>
              </w:rPr>
              <w:t>.</w:t>
            </w:r>
          </w:p>
          <w:p w:rsidR="00802B0F" w:rsidRDefault="00802B0F" w:rsidP="00CF4B55">
            <w:pPr>
              <w:jc w:val="both"/>
            </w:pPr>
          </w:p>
          <w:p w:rsidR="00802B0F" w:rsidRDefault="00802B0F" w:rsidP="00B83E4F">
            <w:pPr>
              <w:jc w:val="both"/>
            </w:pPr>
            <w:r w:rsidRPr="0058194D">
              <w:rPr>
                <w:b/>
              </w:rPr>
              <w:t>NOTA</w:t>
            </w:r>
            <w:r>
              <w:t xml:space="preserve">: un distributore </w:t>
            </w:r>
            <w:r w:rsidRPr="00467FC1">
              <w:rPr>
                <w:b/>
              </w:rPr>
              <w:t>è soggetto direttamente agli obblighi del fabbricante ed è ritenuto tale</w:t>
            </w:r>
            <w:r>
              <w:t xml:space="preserve"> ai fini del </w:t>
            </w:r>
            <w:r w:rsidR="0007490D">
              <w:t>Regolamento UE 2016/425</w:t>
            </w:r>
            <w:r>
              <w:t xml:space="preserve">, nel caso in cui immetta sul mercato </w:t>
            </w:r>
            <w:r w:rsidR="00B83E4F">
              <w:t>guanti di protezione</w:t>
            </w:r>
            <w:r>
              <w:t xml:space="preserve">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34D1B"/>
    <w:multiLevelType w:val="hybridMultilevel"/>
    <w:tmpl w:val="78643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FE582C"/>
    <w:multiLevelType w:val="hybridMultilevel"/>
    <w:tmpl w:val="94F4E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74360E"/>
    <w:multiLevelType w:val="hybridMultilevel"/>
    <w:tmpl w:val="D0E8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FA2630"/>
    <w:multiLevelType w:val="hybridMultilevel"/>
    <w:tmpl w:val="6D8CF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4DD40E92"/>
    <w:multiLevelType w:val="hybridMultilevel"/>
    <w:tmpl w:val="4B00C8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CB088A"/>
    <w:multiLevelType w:val="hybridMultilevel"/>
    <w:tmpl w:val="6A8ACD5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4">
    <w:nsid w:val="4FFB1A54"/>
    <w:multiLevelType w:val="hybridMultilevel"/>
    <w:tmpl w:val="944A8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F70B42"/>
    <w:multiLevelType w:val="hybridMultilevel"/>
    <w:tmpl w:val="070CB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683AD4"/>
    <w:multiLevelType w:val="hybridMultilevel"/>
    <w:tmpl w:val="46D0F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0">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5C766D"/>
    <w:multiLevelType w:val="hybridMultilevel"/>
    <w:tmpl w:val="71FA19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17"/>
  </w:num>
  <w:num w:numId="5">
    <w:abstractNumId w:val="0"/>
  </w:num>
  <w:num w:numId="6">
    <w:abstractNumId w:val="18"/>
  </w:num>
  <w:num w:numId="7">
    <w:abstractNumId w:val="13"/>
  </w:num>
  <w:num w:numId="8">
    <w:abstractNumId w:val="10"/>
  </w:num>
  <w:num w:numId="9">
    <w:abstractNumId w:val="19"/>
  </w:num>
  <w:num w:numId="10">
    <w:abstractNumId w:val="2"/>
  </w:num>
  <w:num w:numId="11">
    <w:abstractNumId w:val="6"/>
  </w:num>
  <w:num w:numId="12">
    <w:abstractNumId w:val="12"/>
  </w:num>
  <w:num w:numId="13">
    <w:abstractNumId w:val="5"/>
  </w:num>
  <w:num w:numId="14">
    <w:abstractNumId w:val="3"/>
  </w:num>
  <w:num w:numId="15">
    <w:abstractNumId w:val="11"/>
  </w:num>
  <w:num w:numId="16">
    <w:abstractNumId w:val="4"/>
  </w:num>
  <w:num w:numId="17">
    <w:abstractNumId w:val="1"/>
  </w:num>
  <w:num w:numId="18">
    <w:abstractNumId w:val="21"/>
  </w:num>
  <w:num w:numId="19">
    <w:abstractNumId w:val="7"/>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259D6"/>
    <w:rsid w:val="000347F2"/>
    <w:rsid w:val="00046B05"/>
    <w:rsid w:val="00064BDA"/>
    <w:rsid w:val="000670D1"/>
    <w:rsid w:val="00067C49"/>
    <w:rsid w:val="0007490D"/>
    <w:rsid w:val="000759AA"/>
    <w:rsid w:val="00076459"/>
    <w:rsid w:val="000A01B1"/>
    <w:rsid w:val="000A6908"/>
    <w:rsid w:val="000B2323"/>
    <w:rsid w:val="000B24F0"/>
    <w:rsid w:val="000E6D6E"/>
    <w:rsid w:val="001118F3"/>
    <w:rsid w:val="0011493D"/>
    <w:rsid w:val="00115429"/>
    <w:rsid w:val="00122A0E"/>
    <w:rsid w:val="0012668B"/>
    <w:rsid w:val="00126C62"/>
    <w:rsid w:val="001605A5"/>
    <w:rsid w:val="00167FA6"/>
    <w:rsid w:val="00175BD5"/>
    <w:rsid w:val="00180B41"/>
    <w:rsid w:val="001B710B"/>
    <w:rsid w:val="001C1ECA"/>
    <w:rsid w:val="001D0C2B"/>
    <w:rsid w:val="001E733C"/>
    <w:rsid w:val="00200CCB"/>
    <w:rsid w:val="00202B97"/>
    <w:rsid w:val="00213A07"/>
    <w:rsid w:val="00236C55"/>
    <w:rsid w:val="002439B3"/>
    <w:rsid w:val="002635EB"/>
    <w:rsid w:val="00272345"/>
    <w:rsid w:val="002843ED"/>
    <w:rsid w:val="0029037C"/>
    <w:rsid w:val="00294A11"/>
    <w:rsid w:val="002A4A4E"/>
    <w:rsid w:val="002B2230"/>
    <w:rsid w:val="002B7BA3"/>
    <w:rsid w:val="002C7C57"/>
    <w:rsid w:val="002D150C"/>
    <w:rsid w:val="002D507D"/>
    <w:rsid w:val="002E6D5F"/>
    <w:rsid w:val="002F0BFA"/>
    <w:rsid w:val="00301C1C"/>
    <w:rsid w:val="003046FA"/>
    <w:rsid w:val="0031172D"/>
    <w:rsid w:val="003307B4"/>
    <w:rsid w:val="00331F6C"/>
    <w:rsid w:val="00360B05"/>
    <w:rsid w:val="0036107B"/>
    <w:rsid w:val="003728E3"/>
    <w:rsid w:val="00381113"/>
    <w:rsid w:val="003B1E06"/>
    <w:rsid w:val="003B48F5"/>
    <w:rsid w:val="003B6537"/>
    <w:rsid w:val="003C018F"/>
    <w:rsid w:val="003C6011"/>
    <w:rsid w:val="003C702E"/>
    <w:rsid w:val="003D749F"/>
    <w:rsid w:val="003E6B76"/>
    <w:rsid w:val="003F70D5"/>
    <w:rsid w:val="0040230C"/>
    <w:rsid w:val="00402EE3"/>
    <w:rsid w:val="00417962"/>
    <w:rsid w:val="00422BF1"/>
    <w:rsid w:val="00426CE6"/>
    <w:rsid w:val="00442588"/>
    <w:rsid w:val="00443E3E"/>
    <w:rsid w:val="00456613"/>
    <w:rsid w:val="0046515B"/>
    <w:rsid w:val="0049334B"/>
    <w:rsid w:val="00494711"/>
    <w:rsid w:val="004A20A2"/>
    <w:rsid w:val="004A4960"/>
    <w:rsid w:val="004B5DB3"/>
    <w:rsid w:val="004D1159"/>
    <w:rsid w:val="004D219C"/>
    <w:rsid w:val="00506D86"/>
    <w:rsid w:val="0052084E"/>
    <w:rsid w:val="00520D19"/>
    <w:rsid w:val="0054430E"/>
    <w:rsid w:val="0055798B"/>
    <w:rsid w:val="00575E2E"/>
    <w:rsid w:val="00585A94"/>
    <w:rsid w:val="005C1391"/>
    <w:rsid w:val="005E4424"/>
    <w:rsid w:val="005F6EF7"/>
    <w:rsid w:val="00600ED0"/>
    <w:rsid w:val="006234E9"/>
    <w:rsid w:val="00624ECA"/>
    <w:rsid w:val="006254B7"/>
    <w:rsid w:val="00644E2C"/>
    <w:rsid w:val="00695593"/>
    <w:rsid w:val="00695FC3"/>
    <w:rsid w:val="006B49F5"/>
    <w:rsid w:val="006B5728"/>
    <w:rsid w:val="006D500D"/>
    <w:rsid w:val="00700C34"/>
    <w:rsid w:val="00701375"/>
    <w:rsid w:val="007032B6"/>
    <w:rsid w:val="007101B0"/>
    <w:rsid w:val="00710C8E"/>
    <w:rsid w:val="00743F9A"/>
    <w:rsid w:val="00744658"/>
    <w:rsid w:val="0075356D"/>
    <w:rsid w:val="00770DFD"/>
    <w:rsid w:val="00776B28"/>
    <w:rsid w:val="007804B2"/>
    <w:rsid w:val="00784AC8"/>
    <w:rsid w:val="007930F5"/>
    <w:rsid w:val="007B04E7"/>
    <w:rsid w:val="007C46A8"/>
    <w:rsid w:val="007D2794"/>
    <w:rsid w:val="007D5E32"/>
    <w:rsid w:val="007E68B4"/>
    <w:rsid w:val="00802B0F"/>
    <w:rsid w:val="00804649"/>
    <w:rsid w:val="008100A8"/>
    <w:rsid w:val="008110F4"/>
    <w:rsid w:val="008161AD"/>
    <w:rsid w:val="00817606"/>
    <w:rsid w:val="008246D3"/>
    <w:rsid w:val="00824B41"/>
    <w:rsid w:val="00827CF2"/>
    <w:rsid w:val="00830564"/>
    <w:rsid w:val="00856AE1"/>
    <w:rsid w:val="00861139"/>
    <w:rsid w:val="00864669"/>
    <w:rsid w:val="008746FA"/>
    <w:rsid w:val="008924FA"/>
    <w:rsid w:val="008A0296"/>
    <w:rsid w:val="008A4169"/>
    <w:rsid w:val="008E35DE"/>
    <w:rsid w:val="008E770E"/>
    <w:rsid w:val="008F5D39"/>
    <w:rsid w:val="00900300"/>
    <w:rsid w:val="00903CC0"/>
    <w:rsid w:val="009105A1"/>
    <w:rsid w:val="00914C83"/>
    <w:rsid w:val="00930BB0"/>
    <w:rsid w:val="00933C19"/>
    <w:rsid w:val="00933CD4"/>
    <w:rsid w:val="00941FEA"/>
    <w:rsid w:val="009704C7"/>
    <w:rsid w:val="009A0C5F"/>
    <w:rsid w:val="009A4E18"/>
    <w:rsid w:val="009C0A74"/>
    <w:rsid w:val="009C3FFC"/>
    <w:rsid w:val="009D6977"/>
    <w:rsid w:val="009E3DB2"/>
    <w:rsid w:val="009E612E"/>
    <w:rsid w:val="00A003D2"/>
    <w:rsid w:val="00A0693F"/>
    <w:rsid w:val="00A118F8"/>
    <w:rsid w:val="00A11DFE"/>
    <w:rsid w:val="00A2415D"/>
    <w:rsid w:val="00A26185"/>
    <w:rsid w:val="00A31821"/>
    <w:rsid w:val="00A65C79"/>
    <w:rsid w:val="00A6763E"/>
    <w:rsid w:val="00A72F8A"/>
    <w:rsid w:val="00AA19ED"/>
    <w:rsid w:val="00AA425C"/>
    <w:rsid w:val="00AC31F4"/>
    <w:rsid w:val="00AC6EDC"/>
    <w:rsid w:val="00AD1ED3"/>
    <w:rsid w:val="00AD3295"/>
    <w:rsid w:val="00AD3FFC"/>
    <w:rsid w:val="00AE1AC2"/>
    <w:rsid w:val="00AE2422"/>
    <w:rsid w:val="00AE2566"/>
    <w:rsid w:val="00AE2AEC"/>
    <w:rsid w:val="00AE2EC5"/>
    <w:rsid w:val="00AE442C"/>
    <w:rsid w:val="00AE503E"/>
    <w:rsid w:val="00AF3C65"/>
    <w:rsid w:val="00AF714E"/>
    <w:rsid w:val="00AF7C2C"/>
    <w:rsid w:val="00B07042"/>
    <w:rsid w:val="00B11521"/>
    <w:rsid w:val="00B26C33"/>
    <w:rsid w:val="00B42ED4"/>
    <w:rsid w:val="00B46074"/>
    <w:rsid w:val="00B57585"/>
    <w:rsid w:val="00B60B69"/>
    <w:rsid w:val="00B63ABE"/>
    <w:rsid w:val="00B73B67"/>
    <w:rsid w:val="00B7640C"/>
    <w:rsid w:val="00B83E4F"/>
    <w:rsid w:val="00BA5289"/>
    <w:rsid w:val="00BB1C7B"/>
    <w:rsid w:val="00BC05E8"/>
    <w:rsid w:val="00BD7C49"/>
    <w:rsid w:val="00BE7ED7"/>
    <w:rsid w:val="00C200E1"/>
    <w:rsid w:val="00C25C49"/>
    <w:rsid w:val="00C37B51"/>
    <w:rsid w:val="00C43E63"/>
    <w:rsid w:val="00C711BF"/>
    <w:rsid w:val="00C9636F"/>
    <w:rsid w:val="00CA4860"/>
    <w:rsid w:val="00CB0C52"/>
    <w:rsid w:val="00CB775D"/>
    <w:rsid w:val="00CC3FC4"/>
    <w:rsid w:val="00CE25C4"/>
    <w:rsid w:val="00CF4B55"/>
    <w:rsid w:val="00D014CD"/>
    <w:rsid w:val="00D116E8"/>
    <w:rsid w:val="00D14B4E"/>
    <w:rsid w:val="00D15188"/>
    <w:rsid w:val="00D31113"/>
    <w:rsid w:val="00D526C4"/>
    <w:rsid w:val="00D62429"/>
    <w:rsid w:val="00D814BC"/>
    <w:rsid w:val="00D95470"/>
    <w:rsid w:val="00DA4672"/>
    <w:rsid w:val="00DB1BC9"/>
    <w:rsid w:val="00DD287B"/>
    <w:rsid w:val="00DD54C6"/>
    <w:rsid w:val="00DE021D"/>
    <w:rsid w:val="00DE26D6"/>
    <w:rsid w:val="00DE3D31"/>
    <w:rsid w:val="00DF260E"/>
    <w:rsid w:val="00E27451"/>
    <w:rsid w:val="00E37FBF"/>
    <w:rsid w:val="00E54A78"/>
    <w:rsid w:val="00E5774A"/>
    <w:rsid w:val="00E66D16"/>
    <w:rsid w:val="00E67762"/>
    <w:rsid w:val="00E8023F"/>
    <w:rsid w:val="00E95F11"/>
    <w:rsid w:val="00EC1BCF"/>
    <w:rsid w:val="00EC2B35"/>
    <w:rsid w:val="00EC2DA6"/>
    <w:rsid w:val="00EC3CC9"/>
    <w:rsid w:val="00ED0555"/>
    <w:rsid w:val="00ED6C3D"/>
    <w:rsid w:val="00EE1542"/>
    <w:rsid w:val="00F119B9"/>
    <w:rsid w:val="00F13245"/>
    <w:rsid w:val="00F148DA"/>
    <w:rsid w:val="00F2045D"/>
    <w:rsid w:val="00F3188C"/>
    <w:rsid w:val="00F332AD"/>
    <w:rsid w:val="00F3630B"/>
    <w:rsid w:val="00F44863"/>
    <w:rsid w:val="00F47E27"/>
    <w:rsid w:val="00F91517"/>
    <w:rsid w:val="00F937B9"/>
    <w:rsid w:val="00F945C1"/>
    <w:rsid w:val="00FA0799"/>
    <w:rsid w:val="00FA1C99"/>
    <w:rsid w:val="00FB48E2"/>
    <w:rsid w:val="00FC32A0"/>
    <w:rsid w:val="00FC6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598">
      <w:bodyDiv w:val="1"/>
      <w:marLeft w:val="0"/>
      <w:marRight w:val="0"/>
      <w:marTop w:val="0"/>
      <w:marBottom w:val="0"/>
      <w:divBdr>
        <w:top w:val="none" w:sz="0" w:space="0" w:color="auto"/>
        <w:left w:val="none" w:sz="0" w:space="0" w:color="auto"/>
        <w:bottom w:val="none" w:sz="0" w:space="0" w:color="auto"/>
        <w:right w:val="none" w:sz="0" w:space="0" w:color="auto"/>
      </w:divBdr>
      <w:divsChild>
        <w:div w:id="1647857408">
          <w:marLeft w:val="0"/>
          <w:marRight w:val="0"/>
          <w:marTop w:val="0"/>
          <w:marBottom w:val="0"/>
          <w:divBdr>
            <w:top w:val="none" w:sz="0" w:space="0" w:color="auto"/>
            <w:left w:val="none" w:sz="0" w:space="0" w:color="auto"/>
            <w:bottom w:val="none" w:sz="0" w:space="0" w:color="auto"/>
            <w:right w:val="none" w:sz="0" w:space="0" w:color="auto"/>
          </w:divBdr>
        </w:div>
        <w:div w:id="1517035927">
          <w:marLeft w:val="0"/>
          <w:marRight w:val="0"/>
          <w:marTop w:val="0"/>
          <w:marBottom w:val="0"/>
          <w:divBdr>
            <w:top w:val="none" w:sz="0" w:space="0" w:color="auto"/>
            <w:left w:val="none" w:sz="0" w:space="0" w:color="auto"/>
            <w:bottom w:val="none" w:sz="0" w:space="0" w:color="auto"/>
            <w:right w:val="none" w:sz="0" w:space="0" w:color="auto"/>
          </w:divBdr>
        </w:div>
        <w:div w:id="1007708240">
          <w:marLeft w:val="0"/>
          <w:marRight w:val="0"/>
          <w:marTop w:val="0"/>
          <w:marBottom w:val="0"/>
          <w:divBdr>
            <w:top w:val="none" w:sz="0" w:space="0" w:color="auto"/>
            <w:left w:val="none" w:sz="0" w:space="0" w:color="auto"/>
            <w:bottom w:val="none" w:sz="0" w:space="0" w:color="auto"/>
            <w:right w:val="none" w:sz="0" w:space="0" w:color="auto"/>
          </w:divBdr>
        </w:div>
        <w:div w:id="1547258393">
          <w:marLeft w:val="0"/>
          <w:marRight w:val="0"/>
          <w:marTop w:val="0"/>
          <w:marBottom w:val="0"/>
          <w:divBdr>
            <w:top w:val="none" w:sz="0" w:space="0" w:color="auto"/>
            <w:left w:val="none" w:sz="0" w:space="0" w:color="auto"/>
            <w:bottom w:val="none" w:sz="0" w:space="0" w:color="auto"/>
            <w:right w:val="none" w:sz="0" w:space="0" w:color="auto"/>
          </w:divBdr>
        </w:div>
        <w:div w:id="1037461810">
          <w:marLeft w:val="0"/>
          <w:marRight w:val="0"/>
          <w:marTop w:val="0"/>
          <w:marBottom w:val="0"/>
          <w:divBdr>
            <w:top w:val="none" w:sz="0" w:space="0" w:color="auto"/>
            <w:left w:val="none" w:sz="0" w:space="0" w:color="auto"/>
            <w:bottom w:val="none" w:sz="0" w:space="0" w:color="auto"/>
            <w:right w:val="none" w:sz="0" w:space="0" w:color="auto"/>
          </w:divBdr>
        </w:div>
        <w:div w:id="935015520">
          <w:marLeft w:val="0"/>
          <w:marRight w:val="0"/>
          <w:marTop w:val="0"/>
          <w:marBottom w:val="0"/>
          <w:divBdr>
            <w:top w:val="none" w:sz="0" w:space="0" w:color="auto"/>
            <w:left w:val="none" w:sz="0" w:space="0" w:color="auto"/>
            <w:bottom w:val="none" w:sz="0" w:space="0" w:color="auto"/>
            <w:right w:val="none" w:sz="0" w:space="0" w:color="auto"/>
          </w:divBdr>
        </w:div>
        <w:div w:id="1670400467">
          <w:marLeft w:val="0"/>
          <w:marRight w:val="0"/>
          <w:marTop w:val="0"/>
          <w:marBottom w:val="0"/>
          <w:divBdr>
            <w:top w:val="none" w:sz="0" w:space="0" w:color="auto"/>
            <w:left w:val="none" w:sz="0" w:space="0" w:color="auto"/>
            <w:bottom w:val="none" w:sz="0" w:space="0" w:color="auto"/>
            <w:right w:val="none" w:sz="0" w:space="0" w:color="auto"/>
          </w:divBdr>
        </w:div>
        <w:div w:id="1020013939">
          <w:marLeft w:val="0"/>
          <w:marRight w:val="0"/>
          <w:marTop w:val="0"/>
          <w:marBottom w:val="0"/>
          <w:divBdr>
            <w:top w:val="none" w:sz="0" w:space="0" w:color="auto"/>
            <w:left w:val="none" w:sz="0" w:space="0" w:color="auto"/>
            <w:bottom w:val="none" w:sz="0" w:space="0" w:color="auto"/>
            <w:right w:val="none" w:sz="0" w:space="0" w:color="auto"/>
          </w:divBdr>
        </w:div>
        <w:div w:id="429855908">
          <w:marLeft w:val="0"/>
          <w:marRight w:val="0"/>
          <w:marTop w:val="0"/>
          <w:marBottom w:val="0"/>
          <w:divBdr>
            <w:top w:val="none" w:sz="0" w:space="0" w:color="auto"/>
            <w:left w:val="none" w:sz="0" w:space="0" w:color="auto"/>
            <w:bottom w:val="none" w:sz="0" w:space="0" w:color="auto"/>
            <w:right w:val="none" w:sz="0" w:space="0" w:color="auto"/>
          </w:divBdr>
        </w:div>
        <w:div w:id="1771313962">
          <w:marLeft w:val="0"/>
          <w:marRight w:val="0"/>
          <w:marTop w:val="0"/>
          <w:marBottom w:val="0"/>
          <w:divBdr>
            <w:top w:val="none" w:sz="0" w:space="0" w:color="auto"/>
            <w:left w:val="none" w:sz="0" w:space="0" w:color="auto"/>
            <w:bottom w:val="none" w:sz="0" w:space="0" w:color="auto"/>
            <w:right w:val="none" w:sz="0" w:space="0" w:color="auto"/>
          </w:divBdr>
        </w:div>
        <w:div w:id="945040381">
          <w:marLeft w:val="0"/>
          <w:marRight w:val="0"/>
          <w:marTop w:val="0"/>
          <w:marBottom w:val="0"/>
          <w:divBdr>
            <w:top w:val="none" w:sz="0" w:space="0" w:color="auto"/>
            <w:left w:val="none" w:sz="0" w:space="0" w:color="auto"/>
            <w:bottom w:val="none" w:sz="0" w:space="0" w:color="auto"/>
            <w:right w:val="none" w:sz="0" w:space="0" w:color="auto"/>
          </w:divBdr>
        </w:div>
        <w:div w:id="599988807">
          <w:marLeft w:val="0"/>
          <w:marRight w:val="0"/>
          <w:marTop w:val="0"/>
          <w:marBottom w:val="0"/>
          <w:divBdr>
            <w:top w:val="none" w:sz="0" w:space="0" w:color="auto"/>
            <w:left w:val="none" w:sz="0" w:space="0" w:color="auto"/>
            <w:bottom w:val="none" w:sz="0" w:space="0" w:color="auto"/>
            <w:right w:val="none" w:sz="0" w:space="0" w:color="auto"/>
          </w:divBdr>
        </w:div>
        <w:div w:id="704452859">
          <w:marLeft w:val="0"/>
          <w:marRight w:val="0"/>
          <w:marTop w:val="0"/>
          <w:marBottom w:val="0"/>
          <w:divBdr>
            <w:top w:val="none" w:sz="0" w:space="0" w:color="auto"/>
            <w:left w:val="none" w:sz="0" w:space="0" w:color="auto"/>
            <w:bottom w:val="none" w:sz="0" w:space="0" w:color="auto"/>
            <w:right w:val="none" w:sz="0" w:space="0" w:color="auto"/>
          </w:divBdr>
        </w:div>
        <w:div w:id="1396583840">
          <w:marLeft w:val="0"/>
          <w:marRight w:val="0"/>
          <w:marTop w:val="0"/>
          <w:marBottom w:val="0"/>
          <w:divBdr>
            <w:top w:val="none" w:sz="0" w:space="0" w:color="auto"/>
            <w:left w:val="none" w:sz="0" w:space="0" w:color="auto"/>
            <w:bottom w:val="none" w:sz="0" w:space="0" w:color="auto"/>
            <w:right w:val="none" w:sz="0" w:space="0" w:color="auto"/>
          </w:divBdr>
        </w:div>
        <w:div w:id="1744184933">
          <w:marLeft w:val="0"/>
          <w:marRight w:val="0"/>
          <w:marTop w:val="0"/>
          <w:marBottom w:val="0"/>
          <w:divBdr>
            <w:top w:val="none" w:sz="0" w:space="0" w:color="auto"/>
            <w:left w:val="none" w:sz="0" w:space="0" w:color="auto"/>
            <w:bottom w:val="none" w:sz="0" w:space="0" w:color="auto"/>
            <w:right w:val="none" w:sz="0" w:space="0" w:color="auto"/>
          </w:divBdr>
        </w:div>
      </w:divsChild>
    </w:div>
    <w:div w:id="114569552">
      <w:bodyDiv w:val="1"/>
      <w:marLeft w:val="0"/>
      <w:marRight w:val="0"/>
      <w:marTop w:val="0"/>
      <w:marBottom w:val="0"/>
      <w:divBdr>
        <w:top w:val="none" w:sz="0" w:space="0" w:color="auto"/>
        <w:left w:val="none" w:sz="0" w:space="0" w:color="auto"/>
        <w:bottom w:val="none" w:sz="0" w:space="0" w:color="auto"/>
        <w:right w:val="none" w:sz="0" w:space="0" w:color="auto"/>
      </w:divBdr>
      <w:divsChild>
        <w:div w:id="54203039">
          <w:marLeft w:val="0"/>
          <w:marRight w:val="0"/>
          <w:marTop w:val="0"/>
          <w:marBottom w:val="0"/>
          <w:divBdr>
            <w:top w:val="none" w:sz="0" w:space="0" w:color="auto"/>
            <w:left w:val="none" w:sz="0" w:space="0" w:color="auto"/>
            <w:bottom w:val="none" w:sz="0" w:space="0" w:color="auto"/>
            <w:right w:val="none" w:sz="0" w:space="0" w:color="auto"/>
          </w:divBdr>
        </w:div>
        <w:div w:id="1756972745">
          <w:marLeft w:val="0"/>
          <w:marRight w:val="0"/>
          <w:marTop w:val="0"/>
          <w:marBottom w:val="0"/>
          <w:divBdr>
            <w:top w:val="none" w:sz="0" w:space="0" w:color="auto"/>
            <w:left w:val="none" w:sz="0" w:space="0" w:color="auto"/>
            <w:bottom w:val="none" w:sz="0" w:space="0" w:color="auto"/>
            <w:right w:val="none" w:sz="0" w:space="0" w:color="auto"/>
          </w:divBdr>
        </w:div>
        <w:div w:id="777869949">
          <w:marLeft w:val="0"/>
          <w:marRight w:val="0"/>
          <w:marTop w:val="0"/>
          <w:marBottom w:val="0"/>
          <w:divBdr>
            <w:top w:val="none" w:sz="0" w:space="0" w:color="auto"/>
            <w:left w:val="none" w:sz="0" w:space="0" w:color="auto"/>
            <w:bottom w:val="none" w:sz="0" w:space="0" w:color="auto"/>
            <w:right w:val="none" w:sz="0" w:space="0" w:color="auto"/>
          </w:divBdr>
        </w:div>
        <w:div w:id="2131896119">
          <w:marLeft w:val="0"/>
          <w:marRight w:val="0"/>
          <w:marTop w:val="0"/>
          <w:marBottom w:val="0"/>
          <w:divBdr>
            <w:top w:val="none" w:sz="0" w:space="0" w:color="auto"/>
            <w:left w:val="none" w:sz="0" w:space="0" w:color="auto"/>
            <w:bottom w:val="none" w:sz="0" w:space="0" w:color="auto"/>
            <w:right w:val="none" w:sz="0" w:space="0" w:color="auto"/>
          </w:divBdr>
        </w:div>
      </w:divsChild>
    </w:div>
    <w:div w:id="382101123">
      <w:bodyDiv w:val="1"/>
      <w:marLeft w:val="0"/>
      <w:marRight w:val="0"/>
      <w:marTop w:val="0"/>
      <w:marBottom w:val="0"/>
      <w:divBdr>
        <w:top w:val="none" w:sz="0" w:space="0" w:color="auto"/>
        <w:left w:val="none" w:sz="0" w:space="0" w:color="auto"/>
        <w:bottom w:val="none" w:sz="0" w:space="0" w:color="auto"/>
        <w:right w:val="none" w:sz="0" w:space="0" w:color="auto"/>
      </w:divBdr>
    </w:div>
    <w:div w:id="5620667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869">
          <w:marLeft w:val="0"/>
          <w:marRight w:val="0"/>
          <w:marTop w:val="0"/>
          <w:marBottom w:val="0"/>
          <w:divBdr>
            <w:top w:val="none" w:sz="0" w:space="0" w:color="auto"/>
            <w:left w:val="none" w:sz="0" w:space="0" w:color="auto"/>
            <w:bottom w:val="none" w:sz="0" w:space="0" w:color="auto"/>
            <w:right w:val="none" w:sz="0" w:space="0" w:color="auto"/>
          </w:divBdr>
        </w:div>
        <w:div w:id="317267309">
          <w:marLeft w:val="0"/>
          <w:marRight w:val="0"/>
          <w:marTop w:val="0"/>
          <w:marBottom w:val="0"/>
          <w:divBdr>
            <w:top w:val="none" w:sz="0" w:space="0" w:color="auto"/>
            <w:left w:val="none" w:sz="0" w:space="0" w:color="auto"/>
            <w:bottom w:val="none" w:sz="0" w:space="0" w:color="auto"/>
            <w:right w:val="none" w:sz="0" w:space="0" w:color="auto"/>
          </w:divBdr>
        </w:div>
        <w:div w:id="1855729540">
          <w:marLeft w:val="0"/>
          <w:marRight w:val="0"/>
          <w:marTop w:val="0"/>
          <w:marBottom w:val="0"/>
          <w:divBdr>
            <w:top w:val="none" w:sz="0" w:space="0" w:color="auto"/>
            <w:left w:val="none" w:sz="0" w:space="0" w:color="auto"/>
            <w:bottom w:val="none" w:sz="0" w:space="0" w:color="auto"/>
            <w:right w:val="none" w:sz="0" w:space="0" w:color="auto"/>
          </w:divBdr>
        </w:div>
        <w:div w:id="1976832029">
          <w:marLeft w:val="0"/>
          <w:marRight w:val="0"/>
          <w:marTop w:val="0"/>
          <w:marBottom w:val="0"/>
          <w:divBdr>
            <w:top w:val="none" w:sz="0" w:space="0" w:color="auto"/>
            <w:left w:val="none" w:sz="0" w:space="0" w:color="auto"/>
            <w:bottom w:val="none" w:sz="0" w:space="0" w:color="auto"/>
            <w:right w:val="none" w:sz="0" w:space="0" w:color="auto"/>
          </w:divBdr>
        </w:div>
        <w:div w:id="597178261">
          <w:marLeft w:val="0"/>
          <w:marRight w:val="0"/>
          <w:marTop w:val="0"/>
          <w:marBottom w:val="0"/>
          <w:divBdr>
            <w:top w:val="none" w:sz="0" w:space="0" w:color="auto"/>
            <w:left w:val="none" w:sz="0" w:space="0" w:color="auto"/>
            <w:bottom w:val="none" w:sz="0" w:space="0" w:color="auto"/>
            <w:right w:val="none" w:sz="0" w:space="0" w:color="auto"/>
          </w:divBdr>
        </w:div>
        <w:div w:id="1556551520">
          <w:marLeft w:val="0"/>
          <w:marRight w:val="0"/>
          <w:marTop w:val="0"/>
          <w:marBottom w:val="0"/>
          <w:divBdr>
            <w:top w:val="none" w:sz="0" w:space="0" w:color="auto"/>
            <w:left w:val="none" w:sz="0" w:space="0" w:color="auto"/>
            <w:bottom w:val="none" w:sz="0" w:space="0" w:color="auto"/>
            <w:right w:val="none" w:sz="0" w:space="0" w:color="auto"/>
          </w:divBdr>
        </w:div>
        <w:div w:id="1467426809">
          <w:marLeft w:val="0"/>
          <w:marRight w:val="0"/>
          <w:marTop w:val="0"/>
          <w:marBottom w:val="0"/>
          <w:divBdr>
            <w:top w:val="none" w:sz="0" w:space="0" w:color="auto"/>
            <w:left w:val="none" w:sz="0" w:space="0" w:color="auto"/>
            <w:bottom w:val="none" w:sz="0" w:space="0" w:color="auto"/>
            <w:right w:val="none" w:sz="0" w:space="0" w:color="auto"/>
          </w:divBdr>
        </w:div>
        <w:div w:id="277378443">
          <w:marLeft w:val="0"/>
          <w:marRight w:val="0"/>
          <w:marTop w:val="0"/>
          <w:marBottom w:val="0"/>
          <w:divBdr>
            <w:top w:val="none" w:sz="0" w:space="0" w:color="auto"/>
            <w:left w:val="none" w:sz="0" w:space="0" w:color="auto"/>
            <w:bottom w:val="none" w:sz="0" w:space="0" w:color="auto"/>
            <w:right w:val="none" w:sz="0" w:space="0" w:color="auto"/>
          </w:divBdr>
        </w:div>
        <w:div w:id="2072998023">
          <w:marLeft w:val="0"/>
          <w:marRight w:val="0"/>
          <w:marTop w:val="0"/>
          <w:marBottom w:val="0"/>
          <w:divBdr>
            <w:top w:val="none" w:sz="0" w:space="0" w:color="auto"/>
            <w:left w:val="none" w:sz="0" w:space="0" w:color="auto"/>
            <w:bottom w:val="none" w:sz="0" w:space="0" w:color="auto"/>
            <w:right w:val="none" w:sz="0" w:space="0" w:color="auto"/>
          </w:divBdr>
        </w:div>
        <w:div w:id="95253967">
          <w:marLeft w:val="0"/>
          <w:marRight w:val="0"/>
          <w:marTop w:val="0"/>
          <w:marBottom w:val="0"/>
          <w:divBdr>
            <w:top w:val="none" w:sz="0" w:space="0" w:color="auto"/>
            <w:left w:val="none" w:sz="0" w:space="0" w:color="auto"/>
            <w:bottom w:val="none" w:sz="0" w:space="0" w:color="auto"/>
            <w:right w:val="none" w:sz="0" w:space="0" w:color="auto"/>
          </w:divBdr>
        </w:div>
        <w:div w:id="875697890">
          <w:marLeft w:val="0"/>
          <w:marRight w:val="0"/>
          <w:marTop w:val="0"/>
          <w:marBottom w:val="0"/>
          <w:divBdr>
            <w:top w:val="none" w:sz="0" w:space="0" w:color="auto"/>
            <w:left w:val="none" w:sz="0" w:space="0" w:color="auto"/>
            <w:bottom w:val="none" w:sz="0" w:space="0" w:color="auto"/>
            <w:right w:val="none" w:sz="0" w:space="0" w:color="auto"/>
          </w:divBdr>
        </w:div>
        <w:div w:id="2003046208">
          <w:marLeft w:val="0"/>
          <w:marRight w:val="0"/>
          <w:marTop w:val="0"/>
          <w:marBottom w:val="0"/>
          <w:divBdr>
            <w:top w:val="none" w:sz="0" w:space="0" w:color="auto"/>
            <w:left w:val="none" w:sz="0" w:space="0" w:color="auto"/>
            <w:bottom w:val="none" w:sz="0" w:space="0" w:color="auto"/>
            <w:right w:val="none" w:sz="0" w:space="0" w:color="auto"/>
          </w:divBdr>
        </w:div>
        <w:div w:id="441389244">
          <w:marLeft w:val="0"/>
          <w:marRight w:val="0"/>
          <w:marTop w:val="0"/>
          <w:marBottom w:val="0"/>
          <w:divBdr>
            <w:top w:val="none" w:sz="0" w:space="0" w:color="auto"/>
            <w:left w:val="none" w:sz="0" w:space="0" w:color="auto"/>
            <w:bottom w:val="none" w:sz="0" w:space="0" w:color="auto"/>
            <w:right w:val="none" w:sz="0" w:space="0" w:color="auto"/>
          </w:divBdr>
        </w:div>
        <w:div w:id="2082098137">
          <w:marLeft w:val="0"/>
          <w:marRight w:val="0"/>
          <w:marTop w:val="0"/>
          <w:marBottom w:val="0"/>
          <w:divBdr>
            <w:top w:val="none" w:sz="0" w:space="0" w:color="auto"/>
            <w:left w:val="none" w:sz="0" w:space="0" w:color="auto"/>
            <w:bottom w:val="none" w:sz="0" w:space="0" w:color="auto"/>
            <w:right w:val="none" w:sz="0" w:space="0" w:color="auto"/>
          </w:divBdr>
        </w:div>
        <w:div w:id="1643270655">
          <w:marLeft w:val="0"/>
          <w:marRight w:val="0"/>
          <w:marTop w:val="0"/>
          <w:marBottom w:val="0"/>
          <w:divBdr>
            <w:top w:val="none" w:sz="0" w:space="0" w:color="auto"/>
            <w:left w:val="none" w:sz="0" w:space="0" w:color="auto"/>
            <w:bottom w:val="none" w:sz="0" w:space="0" w:color="auto"/>
            <w:right w:val="none" w:sz="0" w:space="0" w:color="auto"/>
          </w:divBdr>
        </w:div>
        <w:div w:id="1052733715">
          <w:marLeft w:val="0"/>
          <w:marRight w:val="0"/>
          <w:marTop w:val="0"/>
          <w:marBottom w:val="0"/>
          <w:divBdr>
            <w:top w:val="none" w:sz="0" w:space="0" w:color="auto"/>
            <w:left w:val="none" w:sz="0" w:space="0" w:color="auto"/>
            <w:bottom w:val="none" w:sz="0" w:space="0" w:color="auto"/>
            <w:right w:val="none" w:sz="0" w:space="0" w:color="auto"/>
          </w:divBdr>
        </w:div>
        <w:div w:id="199241822">
          <w:marLeft w:val="0"/>
          <w:marRight w:val="0"/>
          <w:marTop w:val="0"/>
          <w:marBottom w:val="0"/>
          <w:divBdr>
            <w:top w:val="none" w:sz="0" w:space="0" w:color="auto"/>
            <w:left w:val="none" w:sz="0" w:space="0" w:color="auto"/>
            <w:bottom w:val="none" w:sz="0" w:space="0" w:color="auto"/>
            <w:right w:val="none" w:sz="0" w:space="0" w:color="auto"/>
          </w:divBdr>
        </w:div>
      </w:divsChild>
    </w:div>
    <w:div w:id="814685378">
      <w:bodyDiv w:val="1"/>
      <w:marLeft w:val="0"/>
      <w:marRight w:val="0"/>
      <w:marTop w:val="0"/>
      <w:marBottom w:val="0"/>
      <w:divBdr>
        <w:top w:val="none" w:sz="0" w:space="0" w:color="auto"/>
        <w:left w:val="none" w:sz="0" w:space="0" w:color="auto"/>
        <w:bottom w:val="none" w:sz="0" w:space="0" w:color="auto"/>
        <w:right w:val="none" w:sz="0" w:space="0" w:color="auto"/>
      </w:divBdr>
      <w:divsChild>
        <w:div w:id="1110318703">
          <w:marLeft w:val="0"/>
          <w:marRight w:val="0"/>
          <w:marTop w:val="0"/>
          <w:marBottom w:val="0"/>
          <w:divBdr>
            <w:top w:val="none" w:sz="0" w:space="0" w:color="auto"/>
            <w:left w:val="none" w:sz="0" w:space="0" w:color="auto"/>
            <w:bottom w:val="none" w:sz="0" w:space="0" w:color="auto"/>
            <w:right w:val="none" w:sz="0" w:space="0" w:color="auto"/>
          </w:divBdr>
        </w:div>
        <w:div w:id="421028584">
          <w:marLeft w:val="0"/>
          <w:marRight w:val="0"/>
          <w:marTop w:val="0"/>
          <w:marBottom w:val="0"/>
          <w:divBdr>
            <w:top w:val="none" w:sz="0" w:space="0" w:color="auto"/>
            <w:left w:val="none" w:sz="0" w:space="0" w:color="auto"/>
            <w:bottom w:val="none" w:sz="0" w:space="0" w:color="auto"/>
            <w:right w:val="none" w:sz="0" w:space="0" w:color="auto"/>
          </w:divBdr>
        </w:div>
        <w:div w:id="2120222490">
          <w:marLeft w:val="0"/>
          <w:marRight w:val="0"/>
          <w:marTop w:val="0"/>
          <w:marBottom w:val="0"/>
          <w:divBdr>
            <w:top w:val="none" w:sz="0" w:space="0" w:color="auto"/>
            <w:left w:val="none" w:sz="0" w:space="0" w:color="auto"/>
            <w:bottom w:val="none" w:sz="0" w:space="0" w:color="auto"/>
            <w:right w:val="none" w:sz="0" w:space="0" w:color="auto"/>
          </w:divBdr>
        </w:div>
        <w:div w:id="164323049">
          <w:marLeft w:val="0"/>
          <w:marRight w:val="0"/>
          <w:marTop w:val="0"/>
          <w:marBottom w:val="0"/>
          <w:divBdr>
            <w:top w:val="none" w:sz="0" w:space="0" w:color="auto"/>
            <w:left w:val="none" w:sz="0" w:space="0" w:color="auto"/>
            <w:bottom w:val="none" w:sz="0" w:space="0" w:color="auto"/>
            <w:right w:val="none" w:sz="0" w:space="0" w:color="auto"/>
          </w:divBdr>
        </w:div>
        <w:div w:id="1078557733">
          <w:marLeft w:val="0"/>
          <w:marRight w:val="0"/>
          <w:marTop w:val="0"/>
          <w:marBottom w:val="0"/>
          <w:divBdr>
            <w:top w:val="none" w:sz="0" w:space="0" w:color="auto"/>
            <w:left w:val="none" w:sz="0" w:space="0" w:color="auto"/>
            <w:bottom w:val="none" w:sz="0" w:space="0" w:color="auto"/>
            <w:right w:val="none" w:sz="0" w:space="0" w:color="auto"/>
          </w:divBdr>
        </w:div>
        <w:div w:id="1301498900">
          <w:marLeft w:val="0"/>
          <w:marRight w:val="0"/>
          <w:marTop w:val="0"/>
          <w:marBottom w:val="0"/>
          <w:divBdr>
            <w:top w:val="none" w:sz="0" w:space="0" w:color="auto"/>
            <w:left w:val="none" w:sz="0" w:space="0" w:color="auto"/>
            <w:bottom w:val="none" w:sz="0" w:space="0" w:color="auto"/>
            <w:right w:val="none" w:sz="0" w:space="0" w:color="auto"/>
          </w:divBdr>
        </w:div>
      </w:divsChild>
    </w:div>
    <w:div w:id="1379355440">
      <w:bodyDiv w:val="1"/>
      <w:marLeft w:val="0"/>
      <w:marRight w:val="0"/>
      <w:marTop w:val="0"/>
      <w:marBottom w:val="0"/>
      <w:divBdr>
        <w:top w:val="none" w:sz="0" w:space="0" w:color="auto"/>
        <w:left w:val="none" w:sz="0" w:space="0" w:color="auto"/>
        <w:bottom w:val="none" w:sz="0" w:space="0" w:color="auto"/>
        <w:right w:val="none" w:sz="0" w:space="0" w:color="auto"/>
      </w:divBdr>
      <w:divsChild>
        <w:div w:id="683168970">
          <w:marLeft w:val="0"/>
          <w:marRight w:val="0"/>
          <w:marTop w:val="0"/>
          <w:marBottom w:val="0"/>
          <w:divBdr>
            <w:top w:val="none" w:sz="0" w:space="0" w:color="auto"/>
            <w:left w:val="none" w:sz="0" w:space="0" w:color="auto"/>
            <w:bottom w:val="none" w:sz="0" w:space="0" w:color="auto"/>
            <w:right w:val="none" w:sz="0" w:space="0" w:color="auto"/>
          </w:divBdr>
        </w:div>
        <w:div w:id="1646426935">
          <w:marLeft w:val="0"/>
          <w:marRight w:val="0"/>
          <w:marTop w:val="0"/>
          <w:marBottom w:val="0"/>
          <w:divBdr>
            <w:top w:val="none" w:sz="0" w:space="0" w:color="auto"/>
            <w:left w:val="none" w:sz="0" w:space="0" w:color="auto"/>
            <w:bottom w:val="none" w:sz="0" w:space="0" w:color="auto"/>
            <w:right w:val="none" w:sz="0" w:space="0" w:color="auto"/>
          </w:divBdr>
        </w:div>
        <w:div w:id="561335180">
          <w:marLeft w:val="0"/>
          <w:marRight w:val="0"/>
          <w:marTop w:val="0"/>
          <w:marBottom w:val="0"/>
          <w:divBdr>
            <w:top w:val="none" w:sz="0" w:space="0" w:color="auto"/>
            <w:left w:val="none" w:sz="0" w:space="0" w:color="auto"/>
            <w:bottom w:val="none" w:sz="0" w:space="0" w:color="auto"/>
            <w:right w:val="none" w:sz="0" w:space="0" w:color="auto"/>
          </w:divBdr>
        </w:div>
        <w:div w:id="1698236816">
          <w:marLeft w:val="0"/>
          <w:marRight w:val="0"/>
          <w:marTop w:val="0"/>
          <w:marBottom w:val="0"/>
          <w:divBdr>
            <w:top w:val="none" w:sz="0" w:space="0" w:color="auto"/>
            <w:left w:val="none" w:sz="0" w:space="0" w:color="auto"/>
            <w:bottom w:val="none" w:sz="0" w:space="0" w:color="auto"/>
            <w:right w:val="none" w:sz="0" w:space="0" w:color="auto"/>
          </w:divBdr>
        </w:div>
        <w:div w:id="1917275088">
          <w:marLeft w:val="0"/>
          <w:marRight w:val="0"/>
          <w:marTop w:val="0"/>
          <w:marBottom w:val="0"/>
          <w:divBdr>
            <w:top w:val="none" w:sz="0" w:space="0" w:color="auto"/>
            <w:left w:val="none" w:sz="0" w:space="0" w:color="auto"/>
            <w:bottom w:val="none" w:sz="0" w:space="0" w:color="auto"/>
            <w:right w:val="none" w:sz="0" w:space="0" w:color="auto"/>
          </w:divBdr>
        </w:div>
        <w:div w:id="2142569699">
          <w:marLeft w:val="0"/>
          <w:marRight w:val="0"/>
          <w:marTop w:val="0"/>
          <w:marBottom w:val="0"/>
          <w:divBdr>
            <w:top w:val="none" w:sz="0" w:space="0" w:color="auto"/>
            <w:left w:val="none" w:sz="0" w:space="0" w:color="auto"/>
            <w:bottom w:val="none" w:sz="0" w:space="0" w:color="auto"/>
            <w:right w:val="none" w:sz="0" w:space="0" w:color="auto"/>
          </w:divBdr>
        </w:div>
        <w:div w:id="2030449529">
          <w:marLeft w:val="0"/>
          <w:marRight w:val="0"/>
          <w:marTop w:val="0"/>
          <w:marBottom w:val="0"/>
          <w:divBdr>
            <w:top w:val="none" w:sz="0" w:space="0" w:color="auto"/>
            <w:left w:val="none" w:sz="0" w:space="0" w:color="auto"/>
            <w:bottom w:val="none" w:sz="0" w:space="0" w:color="auto"/>
            <w:right w:val="none" w:sz="0" w:space="0" w:color="auto"/>
          </w:divBdr>
        </w:div>
        <w:div w:id="1178084949">
          <w:marLeft w:val="0"/>
          <w:marRight w:val="0"/>
          <w:marTop w:val="0"/>
          <w:marBottom w:val="0"/>
          <w:divBdr>
            <w:top w:val="none" w:sz="0" w:space="0" w:color="auto"/>
            <w:left w:val="none" w:sz="0" w:space="0" w:color="auto"/>
            <w:bottom w:val="none" w:sz="0" w:space="0" w:color="auto"/>
            <w:right w:val="none" w:sz="0" w:space="0" w:color="auto"/>
          </w:divBdr>
        </w:div>
        <w:div w:id="725031491">
          <w:marLeft w:val="0"/>
          <w:marRight w:val="0"/>
          <w:marTop w:val="0"/>
          <w:marBottom w:val="0"/>
          <w:divBdr>
            <w:top w:val="none" w:sz="0" w:space="0" w:color="auto"/>
            <w:left w:val="none" w:sz="0" w:space="0" w:color="auto"/>
            <w:bottom w:val="none" w:sz="0" w:space="0" w:color="auto"/>
            <w:right w:val="none" w:sz="0" w:space="0" w:color="auto"/>
          </w:divBdr>
        </w:div>
        <w:div w:id="103547453">
          <w:marLeft w:val="0"/>
          <w:marRight w:val="0"/>
          <w:marTop w:val="0"/>
          <w:marBottom w:val="0"/>
          <w:divBdr>
            <w:top w:val="none" w:sz="0" w:space="0" w:color="auto"/>
            <w:left w:val="none" w:sz="0" w:space="0" w:color="auto"/>
            <w:bottom w:val="none" w:sz="0" w:space="0" w:color="auto"/>
            <w:right w:val="none" w:sz="0" w:space="0" w:color="auto"/>
          </w:divBdr>
        </w:div>
        <w:div w:id="1908951900">
          <w:marLeft w:val="0"/>
          <w:marRight w:val="0"/>
          <w:marTop w:val="0"/>
          <w:marBottom w:val="0"/>
          <w:divBdr>
            <w:top w:val="none" w:sz="0" w:space="0" w:color="auto"/>
            <w:left w:val="none" w:sz="0" w:space="0" w:color="auto"/>
            <w:bottom w:val="none" w:sz="0" w:space="0" w:color="auto"/>
            <w:right w:val="none" w:sz="0" w:space="0" w:color="auto"/>
          </w:divBdr>
        </w:div>
        <w:div w:id="458035922">
          <w:marLeft w:val="0"/>
          <w:marRight w:val="0"/>
          <w:marTop w:val="0"/>
          <w:marBottom w:val="0"/>
          <w:divBdr>
            <w:top w:val="none" w:sz="0" w:space="0" w:color="auto"/>
            <w:left w:val="none" w:sz="0" w:space="0" w:color="auto"/>
            <w:bottom w:val="none" w:sz="0" w:space="0" w:color="auto"/>
            <w:right w:val="none" w:sz="0" w:space="0" w:color="auto"/>
          </w:divBdr>
        </w:div>
        <w:div w:id="176583129">
          <w:marLeft w:val="0"/>
          <w:marRight w:val="0"/>
          <w:marTop w:val="0"/>
          <w:marBottom w:val="0"/>
          <w:divBdr>
            <w:top w:val="none" w:sz="0" w:space="0" w:color="auto"/>
            <w:left w:val="none" w:sz="0" w:space="0" w:color="auto"/>
            <w:bottom w:val="none" w:sz="0" w:space="0" w:color="auto"/>
            <w:right w:val="none" w:sz="0" w:space="0" w:color="auto"/>
          </w:divBdr>
        </w:div>
        <w:div w:id="1098721846">
          <w:marLeft w:val="0"/>
          <w:marRight w:val="0"/>
          <w:marTop w:val="0"/>
          <w:marBottom w:val="0"/>
          <w:divBdr>
            <w:top w:val="none" w:sz="0" w:space="0" w:color="auto"/>
            <w:left w:val="none" w:sz="0" w:space="0" w:color="auto"/>
            <w:bottom w:val="none" w:sz="0" w:space="0" w:color="auto"/>
            <w:right w:val="none" w:sz="0" w:space="0" w:color="auto"/>
          </w:divBdr>
        </w:div>
        <w:div w:id="1651402256">
          <w:marLeft w:val="0"/>
          <w:marRight w:val="0"/>
          <w:marTop w:val="0"/>
          <w:marBottom w:val="0"/>
          <w:divBdr>
            <w:top w:val="none" w:sz="0" w:space="0" w:color="auto"/>
            <w:left w:val="none" w:sz="0" w:space="0" w:color="auto"/>
            <w:bottom w:val="none" w:sz="0" w:space="0" w:color="auto"/>
            <w:right w:val="none" w:sz="0" w:space="0" w:color="auto"/>
          </w:divBdr>
        </w:div>
        <w:div w:id="264273215">
          <w:marLeft w:val="0"/>
          <w:marRight w:val="0"/>
          <w:marTop w:val="0"/>
          <w:marBottom w:val="0"/>
          <w:divBdr>
            <w:top w:val="none" w:sz="0" w:space="0" w:color="auto"/>
            <w:left w:val="none" w:sz="0" w:space="0" w:color="auto"/>
            <w:bottom w:val="none" w:sz="0" w:space="0" w:color="auto"/>
            <w:right w:val="none" w:sz="0" w:space="0" w:color="auto"/>
          </w:divBdr>
        </w:div>
        <w:div w:id="343553558">
          <w:marLeft w:val="0"/>
          <w:marRight w:val="0"/>
          <w:marTop w:val="0"/>
          <w:marBottom w:val="0"/>
          <w:divBdr>
            <w:top w:val="none" w:sz="0" w:space="0" w:color="auto"/>
            <w:left w:val="none" w:sz="0" w:space="0" w:color="auto"/>
            <w:bottom w:val="none" w:sz="0" w:space="0" w:color="auto"/>
            <w:right w:val="none" w:sz="0" w:space="0" w:color="auto"/>
          </w:divBdr>
        </w:div>
        <w:div w:id="13965508">
          <w:marLeft w:val="0"/>
          <w:marRight w:val="0"/>
          <w:marTop w:val="0"/>
          <w:marBottom w:val="0"/>
          <w:divBdr>
            <w:top w:val="none" w:sz="0" w:space="0" w:color="auto"/>
            <w:left w:val="none" w:sz="0" w:space="0" w:color="auto"/>
            <w:bottom w:val="none" w:sz="0" w:space="0" w:color="auto"/>
            <w:right w:val="none" w:sz="0" w:space="0" w:color="auto"/>
          </w:divBdr>
        </w:div>
        <w:div w:id="544413471">
          <w:marLeft w:val="0"/>
          <w:marRight w:val="0"/>
          <w:marTop w:val="0"/>
          <w:marBottom w:val="0"/>
          <w:divBdr>
            <w:top w:val="none" w:sz="0" w:space="0" w:color="auto"/>
            <w:left w:val="none" w:sz="0" w:space="0" w:color="auto"/>
            <w:bottom w:val="none" w:sz="0" w:space="0" w:color="auto"/>
            <w:right w:val="none" w:sz="0" w:space="0" w:color="auto"/>
          </w:divBdr>
        </w:div>
        <w:div w:id="565381913">
          <w:marLeft w:val="0"/>
          <w:marRight w:val="0"/>
          <w:marTop w:val="0"/>
          <w:marBottom w:val="0"/>
          <w:divBdr>
            <w:top w:val="none" w:sz="0" w:space="0" w:color="auto"/>
            <w:left w:val="none" w:sz="0" w:space="0" w:color="auto"/>
            <w:bottom w:val="none" w:sz="0" w:space="0" w:color="auto"/>
            <w:right w:val="none" w:sz="0" w:space="0" w:color="auto"/>
          </w:divBdr>
        </w:div>
        <w:div w:id="1403604122">
          <w:marLeft w:val="0"/>
          <w:marRight w:val="0"/>
          <w:marTop w:val="0"/>
          <w:marBottom w:val="0"/>
          <w:divBdr>
            <w:top w:val="none" w:sz="0" w:space="0" w:color="auto"/>
            <w:left w:val="none" w:sz="0" w:space="0" w:color="auto"/>
            <w:bottom w:val="none" w:sz="0" w:space="0" w:color="auto"/>
            <w:right w:val="none" w:sz="0" w:space="0" w:color="auto"/>
          </w:divBdr>
        </w:div>
      </w:divsChild>
    </w:div>
    <w:div w:id="1402830294">
      <w:bodyDiv w:val="1"/>
      <w:marLeft w:val="0"/>
      <w:marRight w:val="0"/>
      <w:marTop w:val="0"/>
      <w:marBottom w:val="0"/>
      <w:divBdr>
        <w:top w:val="none" w:sz="0" w:space="0" w:color="auto"/>
        <w:left w:val="none" w:sz="0" w:space="0" w:color="auto"/>
        <w:bottom w:val="none" w:sz="0" w:space="0" w:color="auto"/>
        <w:right w:val="none" w:sz="0" w:space="0" w:color="auto"/>
      </w:divBdr>
    </w:div>
    <w:div w:id="1488400276">
      <w:bodyDiv w:val="1"/>
      <w:marLeft w:val="0"/>
      <w:marRight w:val="0"/>
      <w:marTop w:val="0"/>
      <w:marBottom w:val="0"/>
      <w:divBdr>
        <w:top w:val="none" w:sz="0" w:space="0" w:color="auto"/>
        <w:left w:val="none" w:sz="0" w:space="0" w:color="auto"/>
        <w:bottom w:val="none" w:sz="0" w:space="0" w:color="auto"/>
        <w:right w:val="none" w:sz="0" w:space="0" w:color="auto"/>
      </w:divBdr>
      <w:divsChild>
        <w:div w:id="755594824">
          <w:marLeft w:val="0"/>
          <w:marRight w:val="0"/>
          <w:marTop w:val="0"/>
          <w:marBottom w:val="0"/>
          <w:divBdr>
            <w:top w:val="none" w:sz="0" w:space="0" w:color="auto"/>
            <w:left w:val="none" w:sz="0" w:space="0" w:color="auto"/>
            <w:bottom w:val="none" w:sz="0" w:space="0" w:color="auto"/>
            <w:right w:val="none" w:sz="0" w:space="0" w:color="auto"/>
          </w:divBdr>
        </w:div>
        <w:div w:id="1556507051">
          <w:marLeft w:val="0"/>
          <w:marRight w:val="0"/>
          <w:marTop w:val="0"/>
          <w:marBottom w:val="0"/>
          <w:divBdr>
            <w:top w:val="none" w:sz="0" w:space="0" w:color="auto"/>
            <w:left w:val="none" w:sz="0" w:space="0" w:color="auto"/>
            <w:bottom w:val="none" w:sz="0" w:space="0" w:color="auto"/>
            <w:right w:val="none" w:sz="0" w:space="0" w:color="auto"/>
          </w:divBdr>
        </w:div>
        <w:div w:id="1541435403">
          <w:marLeft w:val="0"/>
          <w:marRight w:val="0"/>
          <w:marTop w:val="0"/>
          <w:marBottom w:val="0"/>
          <w:divBdr>
            <w:top w:val="none" w:sz="0" w:space="0" w:color="auto"/>
            <w:left w:val="none" w:sz="0" w:space="0" w:color="auto"/>
            <w:bottom w:val="none" w:sz="0" w:space="0" w:color="auto"/>
            <w:right w:val="none" w:sz="0" w:space="0" w:color="auto"/>
          </w:divBdr>
        </w:div>
        <w:div w:id="1874271812">
          <w:marLeft w:val="0"/>
          <w:marRight w:val="0"/>
          <w:marTop w:val="0"/>
          <w:marBottom w:val="0"/>
          <w:divBdr>
            <w:top w:val="none" w:sz="0" w:space="0" w:color="auto"/>
            <w:left w:val="none" w:sz="0" w:space="0" w:color="auto"/>
            <w:bottom w:val="none" w:sz="0" w:space="0" w:color="auto"/>
            <w:right w:val="none" w:sz="0" w:space="0" w:color="auto"/>
          </w:divBdr>
        </w:div>
        <w:div w:id="837844913">
          <w:marLeft w:val="0"/>
          <w:marRight w:val="0"/>
          <w:marTop w:val="0"/>
          <w:marBottom w:val="0"/>
          <w:divBdr>
            <w:top w:val="none" w:sz="0" w:space="0" w:color="auto"/>
            <w:left w:val="none" w:sz="0" w:space="0" w:color="auto"/>
            <w:bottom w:val="none" w:sz="0" w:space="0" w:color="auto"/>
            <w:right w:val="none" w:sz="0" w:space="0" w:color="auto"/>
          </w:divBdr>
        </w:div>
      </w:divsChild>
    </w:div>
    <w:div w:id="1566140955">
      <w:bodyDiv w:val="1"/>
      <w:marLeft w:val="0"/>
      <w:marRight w:val="0"/>
      <w:marTop w:val="0"/>
      <w:marBottom w:val="0"/>
      <w:divBdr>
        <w:top w:val="none" w:sz="0" w:space="0" w:color="auto"/>
        <w:left w:val="none" w:sz="0" w:space="0" w:color="auto"/>
        <w:bottom w:val="none" w:sz="0" w:space="0" w:color="auto"/>
        <w:right w:val="none" w:sz="0" w:space="0" w:color="auto"/>
      </w:divBdr>
      <w:divsChild>
        <w:div w:id="968827151">
          <w:marLeft w:val="0"/>
          <w:marRight w:val="0"/>
          <w:marTop w:val="0"/>
          <w:marBottom w:val="0"/>
          <w:divBdr>
            <w:top w:val="none" w:sz="0" w:space="0" w:color="auto"/>
            <w:left w:val="none" w:sz="0" w:space="0" w:color="auto"/>
            <w:bottom w:val="none" w:sz="0" w:space="0" w:color="auto"/>
            <w:right w:val="none" w:sz="0" w:space="0" w:color="auto"/>
          </w:divBdr>
        </w:div>
        <w:div w:id="1329752143">
          <w:marLeft w:val="0"/>
          <w:marRight w:val="0"/>
          <w:marTop w:val="0"/>
          <w:marBottom w:val="0"/>
          <w:divBdr>
            <w:top w:val="none" w:sz="0" w:space="0" w:color="auto"/>
            <w:left w:val="none" w:sz="0" w:space="0" w:color="auto"/>
            <w:bottom w:val="none" w:sz="0" w:space="0" w:color="auto"/>
            <w:right w:val="none" w:sz="0" w:space="0" w:color="auto"/>
          </w:divBdr>
        </w:div>
        <w:div w:id="1223562197">
          <w:marLeft w:val="0"/>
          <w:marRight w:val="0"/>
          <w:marTop w:val="0"/>
          <w:marBottom w:val="0"/>
          <w:divBdr>
            <w:top w:val="none" w:sz="0" w:space="0" w:color="auto"/>
            <w:left w:val="none" w:sz="0" w:space="0" w:color="auto"/>
            <w:bottom w:val="none" w:sz="0" w:space="0" w:color="auto"/>
            <w:right w:val="none" w:sz="0" w:space="0" w:color="auto"/>
          </w:divBdr>
        </w:div>
        <w:div w:id="1704594961">
          <w:marLeft w:val="0"/>
          <w:marRight w:val="0"/>
          <w:marTop w:val="0"/>
          <w:marBottom w:val="0"/>
          <w:divBdr>
            <w:top w:val="none" w:sz="0" w:space="0" w:color="auto"/>
            <w:left w:val="none" w:sz="0" w:space="0" w:color="auto"/>
            <w:bottom w:val="none" w:sz="0" w:space="0" w:color="auto"/>
            <w:right w:val="none" w:sz="0" w:space="0" w:color="auto"/>
          </w:divBdr>
        </w:div>
        <w:div w:id="583027387">
          <w:marLeft w:val="0"/>
          <w:marRight w:val="0"/>
          <w:marTop w:val="0"/>
          <w:marBottom w:val="0"/>
          <w:divBdr>
            <w:top w:val="none" w:sz="0" w:space="0" w:color="auto"/>
            <w:left w:val="none" w:sz="0" w:space="0" w:color="auto"/>
            <w:bottom w:val="none" w:sz="0" w:space="0" w:color="auto"/>
            <w:right w:val="none" w:sz="0" w:space="0" w:color="auto"/>
          </w:divBdr>
        </w:div>
        <w:div w:id="254360283">
          <w:marLeft w:val="0"/>
          <w:marRight w:val="0"/>
          <w:marTop w:val="0"/>
          <w:marBottom w:val="0"/>
          <w:divBdr>
            <w:top w:val="none" w:sz="0" w:space="0" w:color="auto"/>
            <w:left w:val="none" w:sz="0" w:space="0" w:color="auto"/>
            <w:bottom w:val="none" w:sz="0" w:space="0" w:color="auto"/>
            <w:right w:val="none" w:sz="0" w:space="0" w:color="auto"/>
          </w:divBdr>
        </w:div>
        <w:div w:id="1933973591">
          <w:marLeft w:val="0"/>
          <w:marRight w:val="0"/>
          <w:marTop w:val="0"/>
          <w:marBottom w:val="0"/>
          <w:divBdr>
            <w:top w:val="none" w:sz="0" w:space="0" w:color="auto"/>
            <w:left w:val="none" w:sz="0" w:space="0" w:color="auto"/>
            <w:bottom w:val="none" w:sz="0" w:space="0" w:color="auto"/>
            <w:right w:val="none" w:sz="0" w:space="0" w:color="auto"/>
          </w:divBdr>
        </w:div>
      </w:divsChild>
    </w:div>
    <w:div w:id="1594318474">
      <w:bodyDiv w:val="1"/>
      <w:marLeft w:val="0"/>
      <w:marRight w:val="0"/>
      <w:marTop w:val="0"/>
      <w:marBottom w:val="0"/>
      <w:divBdr>
        <w:top w:val="none" w:sz="0" w:space="0" w:color="auto"/>
        <w:left w:val="none" w:sz="0" w:space="0" w:color="auto"/>
        <w:bottom w:val="none" w:sz="0" w:space="0" w:color="auto"/>
        <w:right w:val="none" w:sz="0" w:space="0" w:color="auto"/>
      </w:divBdr>
      <w:divsChild>
        <w:div w:id="861743514">
          <w:marLeft w:val="0"/>
          <w:marRight w:val="0"/>
          <w:marTop w:val="0"/>
          <w:marBottom w:val="0"/>
          <w:divBdr>
            <w:top w:val="none" w:sz="0" w:space="0" w:color="auto"/>
            <w:left w:val="none" w:sz="0" w:space="0" w:color="auto"/>
            <w:bottom w:val="none" w:sz="0" w:space="0" w:color="auto"/>
            <w:right w:val="none" w:sz="0" w:space="0" w:color="auto"/>
          </w:divBdr>
        </w:div>
        <w:div w:id="487867605">
          <w:marLeft w:val="0"/>
          <w:marRight w:val="0"/>
          <w:marTop w:val="0"/>
          <w:marBottom w:val="0"/>
          <w:divBdr>
            <w:top w:val="none" w:sz="0" w:space="0" w:color="auto"/>
            <w:left w:val="none" w:sz="0" w:space="0" w:color="auto"/>
            <w:bottom w:val="none" w:sz="0" w:space="0" w:color="auto"/>
            <w:right w:val="none" w:sz="0" w:space="0" w:color="auto"/>
          </w:divBdr>
        </w:div>
        <w:div w:id="926114948">
          <w:marLeft w:val="0"/>
          <w:marRight w:val="0"/>
          <w:marTop w:val="0"/>
          <w:marBottom w:val="0"/>
          <w:divBdr>
            <w:top w:val="none" w:sz="0" w:space="0" w:color="auto"/>
            <w:left w:val="none" w:sz="0" w:space="0" w:color="auto"/>
            <w:bottom w:val="none" w:sz="0" w:space="0" w:color="auto"/>
            <w:right w:val="none" w:sz="0" w:space="0" w:color="auto"/>
          </w:divBdr>
        </w:div>
        <w:div w:id="1324434266">
          <w:marLeft w:val="0"/>
          <w:marRight w:val="0"/>
          <w:marTop w:val="0"/>
          <w:marBottom w:val="0"/>
          <w:divBdr>
            <w:top w:val="none" w:sz="0" w:space="0" w:color="auto"/>
            <w:left w:val="none" w:sz="0" w:space="0" w:color="auto"/>
            <w:bottom w:val="none" w:sz="0" w:space="0" w:color="auto"/>
            <w:right w:val="none" w:sz="0" w:space="0" w:color="auto"/>
          </w:divBdr>
        </w:div>
      </w:divsChild>
    </w:div>
    <w:div w:id="1788966046">
      <w:bodyDiv w:val="1"/>
      <w:marLeft w:val="0"/>
      <w:marRight w:val="0"/>
      <w:marTop w:val="0"/>
      <w:marBottom w:val="0"/>
      <w:divBdr>
        <w:top w:val="none" w:sz="0" w:space="0" w:color="auto"/>
        <w:left w:val="none" w:sz="0" w:space="0" w:color="auto"/>
        <w:bottom w:val="none" w:sz="0" w:space="0" w:color="auto"/>
        <w:right w:val="none" w:sz="0" w:space="0" w:color="auto"/>
      </w:divBdr>
      <w:divsChild>
        <w:div w:id="1876773914">
          <w:marLeft w:val="0"/>
          <w:marRight w:val="0"/>
          <w:marTop w:val="0"/>
          <w:marBottom w:val="0"/>
          <w:divBdr>
            <w:top w:val="none" w:sz="0" w:space="0" w:color="auto"/>
            <w:left w:val="none" w:sz="0" w:space="0" w:color="auto"/>
            <w:bottom w:val="none" w:sz="0" w:space="0" w:color="auto"/>
            <w:right w:val="none" w:sz="0" w:space="0" w:color="auto"/>
          </w:divBdr>
        </w:div>
        <w:div w:id="663707118">
          <w:marLeft w:val="0"/>
          <w:marRight w:val="0"/>
          <w:marTop w:val="0"/>
          <w:marBottom w:val="0"/>
          <w:divBdr>
            <w:top w:val="none" w:sz="0" w:space="0" w:color="auto"/>
            <w:left w:val="none" w:sz="0" w:space="0" w:color="auto"/>
            <w:bottom w:val="none" w:sz="0" w:space="0" w:color="auto"/>
            <w:right w:val="none" w:sz="0" w:space="0" w:color="auto"/>
          </w:divBdr>
        </w:div>
        <w:div w:id="698823705">
          <w:marLeft w:val="0"/>
          <w:marRight w:val="0"/>
          <w:marTop w:val="0"/>
          <w:marBottom w:val="0"/>
          <w:divBdr>
            <w:top w:val="none" w:sz="0" w:space="0" w:color="auto"/>
            <w:left w:val="none" w:sz="0" w:space="0" w:color="auto"/>
            <w:bottom w:val="none" w:sz="0" w:space="0" w:color="auto"/>
            <w:right w:val="none" w:sz="0" w:space="0" w:color="auto"/>
          </w:divBdr>
        </w:div>
        <w:div w:id="111046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eu/youreurope/business/product-requirements/compliance/index_it.htm?pk_campaign=SDG&amp;pk_kwd=launch&amp;pk_source=sea&amp;pk_medium=search&amp;pk_content=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4E22-23F1-47D4-9B94-15BAC18B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2049</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8</cp:revision>
  <dcterms:created xsi:type="dcterms:W3CDTF">2023-01-23T10:57:00Z</dcterms:created>
  <dcterms:modified xsi:type="dcterms:W3CDTF">2023-01-31T11:57:00Z</dcterms:modified>
</cp:coreProperties>
</file>