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45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756"/>
        <w:gridCol w:w="12052"/>
      </w:tblGrid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INDICE</w:t>
            </w:r>
          </w:p>
        </w:tc>
        <w:tc>
          <w:tcPr>
            <w:tcW w:w="3812" w:type="pct"/>
          </w:tcPr>
          <w:p w:rsidR="00802B0F" w:rsidRPr="009C3208" w:rsidRDefault="00802B0F" w:rsidP="00CF4B55">
            <w:pPr>
              <w:jc w:val="both"/>
            </w:pPr>
            <w:r w:rsidRPr="009C3208">
              <w:t>INFORMAZIONI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Categoria di prodotto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>
              <w:t>Materiale Elettrico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Sottocategoria prodotto</w:t>
            </w:r>
          </w:p>
        </w:tc>
        <w:tc>
          <w:tcPr>
            <w:tcW w:w="3812" w:type="pct"/>
          </w:tcPr>
          <w:p w:rsidR="00802B0F" w:rsidRDefault="00970351" w:rsidP="00993F18">
            <w:pPr>
              <w:shd w:val="clear" w:color="auto" w:fill="FFFFFF"/>
            </w:pPr>
            <w:r>
              <w:t xml:space="preserve">Forni a </w:t>
            </w:r>
            <w:r w:rsidR="006A234C">
              <w:t>microonde e forni a microonde combinati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Immagine prodotto</w:t>
            </w:r>
          </w:p>
        </w:tc>
        <w:tc>
          <w:tcPr>
            <w:tcW w:w="3812" w:type="pct"/>
          </w:tcPr>
          <w:p w:rsidR="00802B0F" w:rsidRDefault="00CF4605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7695" behindDoc="0" locked="0" layoutInCell="1" allowOverlap="1" wp14:anchorId="15BD53D6" wp14:editId="1B45FBBB">
                  <wp:simplePos x="0" y="0"/>
                  <wp:positionH relativeFrom="column">
                    <wp:posOffset>2339340</wp:posOffset>
                  </wp:positionH>
                  <wp:positionV relativeFrom="paragraph">
                    <wp:posOffset>113665</wp:posOffset>
                  </wp:positionV>
                  <wp:extent cx="2143125" cy="2762250"/>
                  <wp:effectExtent l="0" t="0" r="9525" b="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76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CF4605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2816" behindDoc="0" locked="0" layoutInCell="1" allowOverlap="1" wp14:anchorId="366819B8" wp14:editId="52AF67AF">
                  <wp:simplePos x="0" y="0"/>
                  <wp:positionH relativeFrom="column">
                    <wp:posOffset>4844415</wp:posOffset>
                  </wp:positionH>
                  <wp:positionV relativeFrom="paragraph">
                    <wp:posOffset>146050</wp:posOffset>
                  </wp:positionV>
                  <wp:extent cx="2682240" cy="1783715"/>
                  <wp:effectExtent l="0" t="0" r="3810" b="6985"/>
                  <wp:wrapNone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7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40" cy="178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78719" behindDoc="0" locked="0" layoutInCell="1" allowOverlap="1" wp14:anchorId="0479B96F" wp14:editId="4CCB7CDD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97790</wp:posOffset>
                  </wp:positionV>
                  <wp:extent cx="2100580" cy="1575435"/>
                  <wp:effectExtent l="0" t="0" r="0" b="5715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580" cy="157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0B24F0" w:rsidRDefault="000B24F0" w:rsidP="00CF4B55">
            <w:pPr>
              <w:jc w:val="both"/>
            </w:pPr>
          </w:p>
          <w:p w:rsidR="000B24F0" w:rsidRDefault="000B24F0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0E6D6E" w:rsidRDefault="000E6D6E" w:rsidP="00CF4B55">
            <w:pPr>
              <w:jc w:val="both"/>
            </w:pP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9C3208" w:rsidRDefault="00802B0F" w:rsidP="00CF4B55">
            <w:pPr>
              <w:jc w:val="both"/>
            </w:pPr>
            <w:r>
              <w:t xml:space="preserve">Descrizione prodotto e </w:t>
            </w:r>
            <w:r w:rsidRPr="009C3208">
              <w:t>destinazione d’</w:t>
            </w:r>
            <w:r>
              <w:t>uso</w:t>
            </w: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Default="006A234C" w:rsidP="006A234C">
            <w:pPr>
              <w:shd w:val="clear" w:color="auto" w:fill="FFFFFF"/>
            </w:pPr>
            <w:r>
              <w:t xml:space="preserve">Forni a microonde e forni a microonde combinati </w:t>
            </w:r>
            <w:r w:rsidR="009F4E61" w:rsidRPr="009F4E61">
              <w:t xml:space="preserve">per uso </w:t>
            </w:r>
            <w:r w:rsidR="009F4E61">
              <w:t>domes</w:t>
            </w:r>
            <w:r w:rsidR="00A514B3">
              <w:t>tico</w:t>
            </w:r>
            <w:r>
              <w:t xml:space="preserve">, </w:t>
            </w:r>
            <w:r w:rsidR="009F4E61">
              <w:t>la cui</w:t>
            </w:r>
            <w:r w:rsidR="009F4E61" w:rsidRPr="009F4E61">
              <w:t xml:space="preserve"> tensione nominale non sia superiore a 250 V</w:t>
            </w:r>
            <w:r>
              <w:t>. Sono compresi in questa categoria i forni di tipo esterno, ad incasso e per imbarcazioni</w:t>
            </w: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672DC1" w:rsidRDefault="00802B0F" w:rsidP="00CF4B55">
            <w:pPr>
              <w:jc w:val="both"/>
              <w:rPr>
                <w:sz w:val="16"/>
                <w:szCs w:val="16"/>
              </w:rPr>
            </w:pPr>
          </w:p>
          <w:p w:rsidR="00802B0F" w:rsidRDefault="00802B0F" w:rsidP="00CF4B55">
            <w:pPr>
              <w:jc w:val="both"/>
            </w:pPr>
            <w:r>
              <w:t>Premessa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AC45F1" w:rsidRDefault="00AC45F1" w:rsidP="00CF4B55">
            <w:pPr>
              <w:spacing w:after="60"/>
              <w:jc w:val="both"/>
              <w:rPr>
                <w:i/>
              </w:rPr>
            </w:pPr>
          </w:p>
          <w:p w:rsidR="00802B0F" w:rsidRDefault="00802B0F" w:rsidP="00CF4B55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>Gli obblighi di garantire la conformità del prodotto gravano in via principale sul fabbricante e sull’importatore, tuttavia anche il distributore è chiamato a vigilare ed è</w:t>
            </w:r>
            <w:r w:rsidR="00A118F8">
              <w:rPr>
                <w:i/>
              </w:rPr>
              <w:t xml:space="preserve"> responsabile</w:t>
            </w:r>
            <w:r w:rsidR="00B60B69">
              <w:rPr>
                <w:i/>
              </w:rPr>
              <w:t xml:space="preserve"> (amministrativamente, civilmente o penalmente)</w:t>
            </w:r>
            <w:r w:rsidR="00A118F8">
              <w:rPr>
                <w:i/>
              </w:rPr>
              <w:t xml:space="preserve"> per la messa a disposizione sul mercato di prodotti non conformi.</w:t>
            </w:r>
          </w:p>
          <w:p w:rsidR="00126C62" w:rsidRPr="00816DC0" w:rsidRDefault="004A4960" w:rsidP="00B60B69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 xml:space="preserve">E’ dunque importante </w:t>
            </w:r>
            <w:r w:rsidR="00B60B69">
              <w:rPr>
                <w:i/>
              </w:rPr>
              <w:t>essere consapevoli di quali obblighi competono in qualità di distributore (all’ingrosso o al dettaglio) e quali azioni possono essere intraprese per ottemperare a questi obblighi.</w:t>
            </w:r>
          </w:p>
        </w:tc>
      </w:tr>
      <w:tr w:rsidR="00802B0F" w:rsidTr="00360B05">
        <w:tc>
          <w:tcPr>
            <w:tcW w:w="1188" w:type="pct"/>
            <w:tcBorders>
              <w:bottom w:val="single" w:sz="4" w:space="0" w:color="auto"/>
            </w:tcBorders>
            <w:shd w:val="clear" w:color="auto" w:fill="FFFF00"/>
          </w:tcPr>
          <w:p w:rsidR="00046B05" w:rsidRDefault="00046B05" w:rsidP="00CF4B55">
            <w:pPr>
              <w:jc w:val="both"/>
            </w:pPr>
            <w:r>
              <w:t>CONTROLLI VISIVI</w:t>
            </w:r>
          </w:p>
          <w:p w:rsidR="00802B0F" w:rsidRDefault="00AE2422" w:rsidP="00CF4B55">
            <w:pPr>
              <w:jc w:val="both"/>
            </w:pPr>
            <w:r>
              <w:t>chi mette in vendita in I</w:t>
            </w:r>
            <w:r w:rsidR="00046B05">
              <w:t>talia deve controllare che ci siano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FFFF00"/>
          </w:tcPr>
          <w:p w:rsidR="00802B0F" w:rsidRDefault="002E6D5F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La marcatura</w:t>
            </w:r>
            <w:r w:rsidR="00360B05">
              <w:t xml:space="preserve"> CE </w:t>
            </w:r>
          </w:p>
          <w:p w:rsidR="00802B0F" w:rsidRDefault="00360B05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un codice di identificazione univoca del prodotto (identificazione dell’articolo)</w:t>
            </w:r>
          </w:p>
          <w:p w:rsidR="00802B0F" w:rsidRDefault="00EC3CC9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l’</w:t>
            </w:r>
            <w:r w:rsidR="00360B05">
              <w:t>indicazione estremi del fabbricante e dell’importatore (se il fabbricante non è europeo)</w:t>
            </w:r>
          </w:p>
          <w:p w:rsidR="00EC3CC9" w:rsidRDefault="00EC3CC9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dati di targa obbligatori</w:t>
            </w:r>
          </w:p>
          <w:p w:rsidR="00802B0F" w:rsidRPr="009C3208" w:rsidRDefault="00360B05" w:rsidP="001D0C2B">
            <w:pPr>
              <w:pStyle w:val="Paragrafoelenco"/>
              <w:numPr>
                <w:ilvl w:val="0"/>
                <w:numId w:val="11"/>
              </w:numPr>
              <w:spacing w:after="60"/>
              <w:ind w:left="714" w:hanging="357"/>
              <w:jc w:val="both"/>
            </w:pPr>
            <w:r>
              <w:t>istruzioni in lingua italiana</w:t>
            </w:r>
          </w:p>
        </w:tc>
      </w:tr>
      <w:tr w:rsidR="00360B05" w:rsidTr="004D219C"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</w:tcPr>
          <w:p w:rsidR="00360B05" w:rsidRDefault="00EC3CC9" w:rsidP="00EC3CC9">
            <w:pPr>
              <w:jc w:val="both"/>
            </w:pPr>
            <w:r>
              <w:lastRenderedPageBreak/>
              <w:t>Attività necessarie per ottemperare ai CONTROLLI VISIVI</w:t>
            </w: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auto"/>
          </w:tcPr>
          <w:p w:rsidR="002E6D5F" w:rsidRPr="000A6908" w:rsidRDefault="002E6D5F" w:rsidP="00CF4B55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LA MARCATURA CE</w:t>
            </w:r>
          </w:p>
          <w:p w:rsidR="002E6D5F" w:rsidRDefault="002E6D5F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44CD5090" wp14:editId="1398713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24131</wp:posOffset>
                  </wp:positionV>
                  <wp:extent cx="781050" cy="531684"/>
                  <wp:effectExtent l="0" t="0" r="0" b="1905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47" cy="53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6D5F" w:rsidRDefault="002E6D5F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</w:p>
          <w:p w:rsidR="00360B05" w:rsidRDefault="00360B05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  <w:r w:rsidRPr="002E6D5F">
              <w:t>La marcatura CE è un indicatore fondamentale (ma non una prova) della conformità del prodotto alla legislazione dell'UE e consente la libera circolazione dei prodotti</w:t>
            </w:r>
            <w:r>
              <w:t xml:space="preserve"> all'interno del mercato del Sistema Economico Europeo. Deve rispettare specifiche proporzioni per potersi definire conforme</w:t>
            </w:r>
            <w:r w:rsidR="0046515B">
              <w:t xml:space="preserve"> e deve essere apposta sul prodotto cui si riferisce in maniera visibile, leggibile e indelebile.</w:t>
            </w:r>
          </w:p>
          <w:p w:rsidR="0046515B" w:rsidRDefault="0046515B" w:rsidP="00CF4B55">
            <w:pPr>
              <w:jc w:val="both"/>
            </w:pPr>
          </w:p>
          <w:p w:rsidR="0046515B" w:rsidRPr="00D95470" w:rsidRDefault="0046515B" w:rsidP="00DE021D">
            <w:pPr>
              <w:jc w:val="both"/>
              <w:rPr>
                <w:b/>
              </w:rPr>
            </w:pPr>
            <w:r>
              <w:t>Poiché la norma impone l’apposizione</w:t>
            </w:r>
            <w:r w:rsidR="00DE021D">
              <w:t xml:space="preserve"> </w:t>
            </w:r>
            <w:r w:rsidR="00DE021D" w:rsidRPr="0046515B">
              <w:t>della m</w:t>
            </w:r>
            <w:r w:rsidR="00DE021D">
              <w:t xml:space="preserve">arcatura CE </w:t>
            </w:r>
            <w:r>
              <w:t>direttamente sul prodotto</w:t>
            </w:r>
            <w:r w:rsidR="007E68B4">
              <w:t>,</w:t>
            </w:r>
            <w:r>
              <w:t xml:space="preserve"> </w:t>
            </w:r>
            <w:r w:rsidR="001C1ECA">
              <w:t xml:space="preserve">sostituibile da quella apposta </w:t>
            </w:r>
            <w:r>
              <w:t>sull’imballaggio</w:t>
            </w:r>
            <w:r w:rsidR="00DE021D">
              <w:t xml:space="preserve"> </w:t>
            </w:r>
            <w:r>
              <w:t xml:space="preserve">solo nel caso in cui </w:t>
            </w:r>
            <w:r w:rsidR="00DE021D">
              <w:t>sul prodotto risulti</w:t>
            </w:r>
            <w:r>
              <w:t xml:space="preserve"> </w:t>
            </w:r>
            <w:r w:rsidRPr="0046515B">
              <w:t xml:space="preserve">impossibile </w:t>
            </w:r>
            <w:r w:rsidR="00DE021D">
              <w:t xml:space="preserve">tecnicamente </w:t>
            </w:r>
            <w:r>
              <w:t xml:space="preserve">o </w:t>
            </w:r>
            <w:r w:rsidRPr="0046515B">
              <w:t>a condizioni ragionevoli dal punto di vista tecnico o economico</w:t>
            </w:r>
            <w:r w:rsidR="00DE021D">
              <w:t>, oppure non si possano garantire</w:t>
            </w:r>
            <w:r w:rsidRPr="0046515B">
              <w:t xml:space="preserve"> le dimensioni minime per l'apposizione</w:t>
            </w:r>
            <w:r w:rsidR="00D15188">
              <w:t xml:space="preserve"> (il marchio CE deve avere una dimensione minima di 5mm di lato)</w:t>
            </w:r>
            <w:r w:rsidRPr="0046515B">
              <w:t xml:space="preserve">, o </w:t>
            </w:r>
            <w:r w:rsidR="00DE021D">
              <w:t xml:space="preserve">ancora </w:t>
            </w:r>
            <w:r w:rsidRPr="0046515B">
              <w:t>non si p</w:t>
            </w:r>
            <w:r w:rsidR="00DE021D">
              <w:t>ossa</w:t>
            </w:r>
            <w:r w:rsidRPr="0046515B">
              <w:t xml:space="preserve"> garantire che la marcatura CE risulti v</w:t>
            </w:r>
            <w:r w:rsidR="00DE021D">
              <w:t xml:space="preserve">isibile, leggibile e indelebile, </w:t>
            </w:r>
            <w:r w:rsidR="00DE021D" w:rsidRPr="00D95470">
              <w:rPr>
                <w:b/>
              </w:rPr>
              <w:t>È NECESSARIO CHE IL DISTRIBUTORE SI ACCERTI DELLA PRESENZA DELLA MARCATURA CE DIRETTAMENTE SUL PRODOTTO APRENDO ALMENO UNA CONFEZIONE</w:t>
            </w:r>
          </w:p>
          <w:p w:rsidR="00DE021D" w:rsidRDefault="00DE021D" w:rsidP="00DE021D">
            <w:pPr>
              <w:jc w:val="both"/>
            </w:pPr>
          </w:p>
          <w:p w:rsidR="00710C8E" w:rsidRPr="000A6908" w:rsidRDefault="00710C8E" w:rsidP="00DE021D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CODICE IDENTIFICATIVO DEL PRODOTTO</w:t>
            </w:r>
          </w:p>
          <w:p w:rsidR="00710C8E" w:rsidRDefault="00710C8E" w:rsidP="00DE021D">
            <w:pPr>
              <w:jc w:val="both"/>
            </w:pPr>
          </w:p>
          <w:p w:rsidR="00710C8E" w:rsidRPr="00D95470" w:rsidRDefault="00710C8E" w:rsidP="00644E2C">
            <w:pPr>
              <w:jc w:val="both"/>
              <w:rPr>
                <w:b/>
              </w:rPr>
            </w:pPr>
            <w:r>
              <w:t xml:space="preserve">La norma impone che </w:t>
            </w:r>
            <w:r w:rsidR="00644E2C">
              <w:t xml:space="preserve">su </w:t>
            </w:r>
            <w:r>
              <w:t xml:space="preserve">ogni prodotto sia </w:t>
            </w:r>
            <w:r w:rsidR="00644E2C">
              <w:t>presente un numero di tipo, di lotto o seriale</w:t>
            </w:r>
            <w:r w:rsidR="00D15188">
              <w:t>,</w:t>
            </w:r>
            <w:r w:rsidR="00644E2C">
              <w:t xml:space="preserve"> o altro elemento identificativo, che individui univocamente il prodotto. Questo elemento è importante per la tracciabilità e </w:t>
            </w:r>
            <w:r w:rsidR="00D15188">
              <w:t>per l’</w:t>
            </w:r>
            <w:r w:rsidR="00644E2C">
              <w:t xml:space="preserve"> individuazione di quali esemplari siano eventualmente interessati </w:t>
            </w:r>
            <w:r w:rsidR="00864669">
              <w:t>da</w:t>
            </w:r>
            <w:r w:rsidR="00644E2C">
              <w:t xml:space="preserve"> ritiri o richiami dal mercato.</w:t>
            </w:r>
            <w:r w:rsidR="00864669">
              <w:t xml:space="preserve"> Anche in questo caso si tratta di una marcatura che deve risultare visibile, leggibile e indelebile sul prodotto e solo in alcuni casi sostituibile dall’indicazione sulla confezione; </w:t>
            </w:r>
            <w:r w:rsidR="00D15188">
              <w:t xml:space="preserve">pertanto </w:t>
            </w:r>
            <w:r w:rsidR="00864669" w:rsidRPr="00D95470">
              <w:rPr>
                <w:b/>
              </w:rPr>
              <w:t>È NECESSARIO CHE IL DISTRIBUTORE SI ACCERTI DELLA PRESENZA DEL CODICE IDENTIFICATIVO DIRETTAMENTE SUL PRODOTTO APRENDO ALMENO UNA CONFEZIONE</w:t>
            </w:r>
          </w:p>
          <w:p w:rsidR="00864669" w:rsidRDefault="00864669" w:rsidP="00644E2C">
            <w:pPr>
              <w:jc w:val="both"/>
            </w:pPr>
          </w:p>
          <w:p w:rsidR="00864669" w:rsidRPr="000A6908" w:rsidRDefault="00864669" w:rsidP="00644E2C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ESTREMI DEL FABBRICANTE E DELL’IMPORTATORE</w:t>
            </w:r>
          </w:p>
          <w:p w:rsidR="00864669" w:rsidRDefault="00864669" w:rsidP="00644E2C">
            <w:pPr>
              <w:jc w:val="both"/>
            </w:pPr>
          </w:p>
          <w:p w:rsidR="00864669" w:rsidRDefault="00864669" w:rsidP="00644E2C">
            <w:pPr>
              <w:jc w:val="both"/>
            </w:pPr>
            <w:r>
              <w:t>Il fabbricante è secondo la norma il soggetto che produce o fa produrre a proprio nome un certo prodotto; è il soggetto responsabile della sicurezza del prodotto e della sua conformità a tutti i requisiti fissati dalla norma. Ove il fabbricante non abbia sede</w:t>
            </w:r>
            <w:r w:rsidR="00442588">
              <w:t xml:space="preserve"> nella comunità europea è necessario che sia presente l’importatore, come responsabile dell’immissione del prodotto</w:t>
            </w:r>
            <w:r w:rsidR="001C1ECA">
              <w:t>, in affiancamento al produttore originario</w:t>
            </w:r>
            <w:r w:rsidR="00442588">
              <w:t>.</w:t>
            </w:r>
          </w:p>
          <w:p w:rsidR="00442588" w:rsidRDefault="00442588" w:rsidP="00644E2C">
            <w:pPr>
              <w:jc w:val="both"/>
            </w:pPr>
          </w:p>
          <w:p w:rsidR="00442588" w:rsidRDefault="00442588" w:rsidP="00644E2C">
            <w:pPr>
              <w:jc w:val="both"/>
            </w:pPr>
            <w:r>
              <w:t>Fabbricante e importatore hanno l’obbligo di apporre i loro estremi direttamente sul prodotto, nella forma di: nome, denominazione commerciale registrata o marchio registrato e indirizzo postale al quale essere contattati</w:t>
            </w:r>
            <w:r w:rsidR="00DE3D31">
              <w:t>.</w:t>
            </w:r>
          </w:p>
          <w:p w:rsidR="00DE3D31" w:rsidRDefault="00DE3D31" w:rsidP="00644E2C">
            <w:pPr>
              <w:jc w:val="both"/>
            </w:pPr>
          </w:p>
          <w:p w:rsidR="00DE3D31" w:rsidRPr="00D95470" w:rsidRDefault="00DE3D31" w:rsidP="00644E2C">
            <w:pPr>
              <w:jc w:val="both"/>
              <w:rPr>
                <w:b/>
              </w:rPr>
            </w:pPr>
            <w:r>
              <w:lastRenderedPageBreak/>
              <w:t xml:space="preserve">Anche in questo caso i dati riportati in confezione o su un documento che accompagna il prodotto possono sostituire quelli sul prodotto stesso solo in casi conclamati di impossibilità tecnica o economica, non per motivi di estetica, quindi </w:t>
            </w:r>
            <w:r w:rsidRPr="00D95470">
              <w:rPr>
                <w:b/>
              </w:rPr>
              <w:t>È NECESSARIO CHE IL DISTRIBUTORE SI ACCERTI DELLA PRESENZA DEGLI ESTREMI DEL FABBRICANTE E DELL’IMPORTATORE DIRETTAMENTE SUL PRODOTTO APRENDO ALMENO UNA CONFEZIONE</w:t>
            </w:r>
          </w:p>
          <w:p w:rsidR="00DE3D31" w:rsidRDefault="00DE3D31" w:rsidP="00644E2C">
            <w:pPr>
              <w:jc w:val="both"/>
            </w:pPr>
          </w:p>
          <w:p w:rsidR="00DE3D31" w:rsidRPr="000A6908" w:rsidRDefault="00DE3D31" w:rsidP="00644E2C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DATI DI TARGA OBBLIGATORI</w:t>
            </w:r>
          </w:p>
          <w:p w:rsidR="00DE3D31" w:rsidRDefault="00DE3D31" w:rsidP="00644E2C">
            <w:pPr>
              <w:jc w:val="both"/>
            </w:pPr>
          </w:p>
          <w:p w:rsidR="00DE3D31" w:rsidRDefault="00DE3D31" w:rsidP="00644E2C">
            <w:pPr>
              <w:jc w:val="both"/>
            </w:pPr>
            <w:r>
              <w:t xml:space="preserve">La norma </w:t>
            </w:r>
            <w:r w:rsidR="001C1ECA">
              <w:t>deriva</w:t>
            </w:r>
            <w:r w:rsidR="00520D19">
              <w:t xml:space="preserve"> la presunzione della</w:t>
            </w:r>
            <w:r>
              <w:t xml:space="preserve"> conformità</w:t>
            </w:r>
            <w:r w:rsidR="00520D19">
              <w:t xml:space="preserve"> agli obiettivi di sicur</w:t>
            </w:r>
            <w:r w:rsidR="003E6B76">
              <w:t>ezza di un prodotto elettrico</w:t>
            </w:r>
            <w:r w:rsidR="001C1ECA">
              <w:t xml:space="preserve"> da</w:t>
            </w:r>
            <w:r w:rsidR="00520D19">
              <w:t>lla conformità dello stesso alle norme armonizzate ad esso applicabil</w:t>
            </w:r>
            <w:r w:rsidR="00784AC8">
              <w:t xml:space="preserve">i. Nel caso degli apparecchi elettrici </w:t>
            </w:r>
            <w:r w:rsidR="00520D19">
              <w:t xml:space="preserve">ad uso </w:t>
            </w:r>
            <w:r w:rsidR="00784AC8">
              <w:t>domestico</w:t>
            </w:r>
            <w:r w:rsidR="00520D19">
              <w:t xml:space="preserve"> la normativa tecnica armonizzata impone </w:t>
            </w:r>
            <w:r w:rsidR="000A6908">
              <w:t>l’indicazione</w:t>
            </w:r>
            <w:r w:rsidR="00520D19">
              <w:t xml:space="preserve"> sul prodotto:</w:t>
            </w:r>
          </w:p>
          <w:p w:rsidR="00520D19" w:rsidRDefault="00520D19" w:rsidP="00644E2C">
            <w:pPr>
              <w:jc w:val="both"/>
            </w:pPr>
          </w:p>
          <w:p w:rsidR="00520D19" w:rsidRDefault="00520D19" w:rsidP="00520D19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della tensione di alimentazione, espressa in volt (V)</w:t>
            </w:r>
          </w:p>
          <w:p w:rsidR="00784AC8" w:rsidRDefault="00784AC8" w:rsidP="00520D19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della frequenza nominale di alimentazione</w:t>
            </w:r>
            <w:r w:rsidR="007E68B4">
              <w:t xml:space="preserve"> in hertz (HZ)</w:t>
            </w:r>
            <w:r>
              <w:t xml:space="preserve"> o del simbolo </w:t>
            </w:r>
            <w:r w:rsidR="00417962">
              <w:t>corrispondente al tipo di corrente di alimentazione</w:t>
            </w:r>
            <w:r w:rsidR="00E27451">
              <w:t>, posto in prossimità dell’indicazione della tensione</w:t>
            </w:r>
            <w:r w:rsidR="00417962">
              <w:t>:</w:t>
            </w:r>
          </w:p>
          <w:p w:rsidR="00417962" w:rsidRDefault="00903CC0" w:rsidP="00903CC0">
            <w:pPr>
              <w:pStyle w:val="Paragrafoelenco"/>
              <w:numPr>
                <w:ilvl w:val="1"/>
                <w:numId w:val="12"/>
              </w:numPr>
              <w:spacing w:line="360" w:lineRule="auto"/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 wp14:anchorId="28B7411E" wp14:editId="1949DED0">
                  <wp:extent cx="525780" cy="243840"/>
                  <wp:effectExtent l="0" t="0" r="762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rente DC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corrente continua</w:t>
            </w:r>
            <w:r w:rsidR="00E27451">
              <w:t>;</w:t>
            </w:r>
          </w:p>
          <w:p w:rsidR="00903CC0" w:rsidRDefault="00903CC0" w:rsidP="00903CC0">
            <w:pPr>
              <w:pStyle w:val="Paragrafoelenco"/>
              <w:numPr>
                <w:ilvl w:val="1"/>
                <w:numId w:val="12"/>
              </w:numPr>
              <w:spacing w:line="360" w:lineRule="auto"/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 wp14:anchorId="41F58CE8" wp14:editId="042B74BB">
                  <wp:extent cx="365760" cy="1905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rente AC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corrente alternata</w:t>
            </w:r>
            <w:r w:rsidR="00E27451">
              <w:t>;</w:t>
            </w:r>
          </w:p>
          <w:p w:rsidR="00520D19" w:rsidRDefault="00AB3756" w:rsidP="00520D19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8480" behindDoc="0" locked="0" layoutInCell="1" allowOverlap="1" wp14:anchorId="5CEB4CDE" wp14:editId="49F0C9D9">
                  <wp:simplePos x="0" y="0"/>
                  <wp:positionH relativeFrom="column">
                    <wp:posOffset>2722245</wp:posOffset>
                  </wp:positionH>
                  <wp:positionV relativeFrom="paragraph">
                    <wp:posOffset>156845</wp:posOffset>
                  </wp:positionV>
                  <wp:extent cx="238125" cy="222250"/>
                  <wp:effectExtent l="0" t="0" r="9525" b="6350"/>
                  <wp:wrapNone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3269">
              <w:t xml:space="preserve">della potenza </w:t>
            </w:r>
            <w:r>
              <w:t>nominale</w:t>
            </w:r>
            <w:r w:rsidR="00A93269">
              <w:t xml:space="preserve"> assorbita espressa in watt (W) o della corrente </w:t>
            </w:r>
            <w:r>
              <w:t>nominale</w:t>
            </w:r>
            <w:r w:rsidR="00A93269">
              <w:t xml:space="preserve"> as</w:t>
            </w:r>
            <w:r w:rsidR="00C77697">
              <w:t>sorbita espressa in ampere (A)</w:t>
            </w:r>
            <w:r w:rsidR="00F83223">
              <w:t>;</w:t>
            </w:r>
          </w:p>
          <w:p w:rsidR="00520D19" w:rsidRDefault="003E6B76" w:rsidP="003E6B76">
            <w:pPr>
              <w:pStyle w:val="Paragrafoelenco"/>
              <w:numPr>
                <w:ilvl w:val="0"/>
                <w:numId w:val="12"/>
              </w:numPr>
              <w:spacing w:line="360" w:lineRule="auto"/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4864" behindDoc="0" locked="0" layoutInCell="1" allowOverlap="1" wp14:anchorId="1089D554" wp14:editId="12C9A5D3">
                  <wp:simplePos x="0" y="0"/>
                  <wp:positionH relativeFrom="column">
                    <wp:posOffset>3166110</wp:posOffset>
                  </wp:positionH>
                  <wp:positionV relativeFrom="paragraph">
                    <wp:posOffset>185420</wp:posOffset>
                  </wp:positionV>
                  <wp:extent cx="282575" cy="297180"/>
                  <wp:effectExtent l="0" t="0" r="3175" b="762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e II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0D19">
              <w:t>della classe di isolamento</w:t>
            </w:r>
            <w:r>
              <w:t xml:space="preserve"> II (simbolo</w:t>
            </w:r>
            <w:r w:rsidR="00AB3756">
              <w:t xml:space="preserve"> </w:t>
            </w:r>
            <w:r>
              <w:t xml:space="preserve">       </w:t>
            </w:r>
            <w:r w:rsidR="008110F4">
              <w:t xml:space="preserve">) ove </w:t>
            </w:r>
            <w:r w:rsidR="00180B41">
              <w:t>il cavo d’alimentazione non sia dotato</w:t>
            </w:r>
            <w:r w:rsidR="008110F4">
              <w:t xml:space="preserve"> </w:t>
            </w:r>
            <w:r w:rsidR="00180B41">
              <w:t xml:space="preserve">di </w:t>
            </w:r>
            <w:r w:rsidR="00695FC3">
              <w:t>contatto</w:t>
            </w:r>
            <w:r w:rsidR="008746FA">
              <w:t xml:space="preserve"> per la messa</w:t>
            </w:r>
            <w:r w:rsidR="00695FC3">
              <w:t xml:space="preserve"> a</w:t>
            </w:r>
            <w:r w:rsidR="008110F4">
              <w:t xml:space="preserve"> terra</w:t>
            </w:r>
            <w:r>
              <w:t>, oppure della classe di isolamento III (simbolo</w:t>
            </w:r>
            <w:r w:rsidR="00AB3756">
              <w:t xml:space="preserve">  </w:t>
            </w:r>
            <w:r>
              <w:t xml:space="preserve">         )</w:t>
            </w:r>
            <w:r w:rsidR="001001AA">
              <w:t xml:space="preserve"> ove l’alimentazione provenga da un sistema a bassissima tensione di sicurezza (tensione inferiore a 42 V tra i conduttori o tra i conduttori e la terra)</w:t>
            </w:r>
            <w:r w:rsidR="007E68B4">
              <w:t>;</w:t>
            </w:r>
          </w:p>
          <w:p w:rsidR="003E6B76" w:rsidRDefault="00F332AD" w:rsidP="00F332AD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del grado di protezione dagli agenti esterni IP, che deve essere diverso da IPX0 (deve essere cioè garantita una minima protezione dai liquidi</w:t>
            </w:r>
            <w:r w:rsidR="00D31113">
              <w:t>, ovvero seconda cifra diversa da 0</w:t>
            </w:r>
            <w:r>
              <w:t>)</w:t>
            </w:r>
            <w:r w:rsidR="00575E17">
              <w:t>;</w:t>
            </w:r>
          </w:p>
          <w:p w:rsidR="00575E17" w:rsidRDefault="00575E17" w:rsidP="00F332AD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della frequenza in megahertz della banda ISM in cui funzionano;</w:t>
            </w:r>
          </w:p>
          <w:p w:rsidR="00695FC3" w:rsidRDefault="00695FC3" w:rsidP="00695FC3">
            <w:pPr>
              <w:jc w:val="both"/>
            </w:pPr>
          </w:p>
          <w:p w:rsidR="00216BCD" w:rsidRDefault="00216BCD" w:rsidP="00695FC3">
            <w:pPr>
              <w:jc w:val="both"/>
            </w:pPr>
          </w:p>
          <w:p w:rsidR="008F06AB" w:rsidRDefault="008F06AB" w:rsidP="00695FC3">
            <w:pPr>
              <w:jc w:val="both"/>
            </w:pPr>
          </w:p>
          <w:p w:rsidR="008F06AB" w:rsidRDefault="008F06AB" w:rsidP="00695FC3">
            <w:pPr>
              <w:jc w:val="both"/>
            </w:pPr>
          </w:p>
          <w:p w:rsidR="00B42ED4" w:rsidRDefault="0075356D" w:rsidP="00695FC3">
            <w:pPr>
              <w:jc w:val="both"/>
            </w:pPr>
            <w:r>
              <w:t>I suddetti dati di targa si trovano collocati sul prodotto, in forma visi</w:t>
            </w:r>
            <w:r w:rsidR="00F332AD">
              <w:t>bile, su superficie accessibile.</w:t>
            </w:r>
            <w:r w:rsidR="00B42ED4">
              <w:t xml:space="preserve"> Sono ammissibili altri marchi e simboli purché non creino confusione con la marcatura obbligatoria</w:t>
            </w:r>
            <w:r w:rsidR="00B26C33">
              <w:t>.</w:t>
            </w:r>
          </w:p>
          <w:p w:rsidR="00695FC3" w:rsidRPr="00D95470" w:rsidRDefault="00695FC3" w:rsidP="00695FC3">
            <w:pPr>
              <w:jc w:val="both"/>
              <w:rPr>
                <w:b/>
              </w:rPr>
            </w:pPr>
            <w:r>
              <w:t xml:space="preserve">Solitamente questi dati sono riportati anche in confezione, ma poiché l’obbligo è che siano presenti sul prodotto </w:t>
            </w:r>
            <w:r w:rsidRPr="00D95470">
              <w:rPr>
                <w:b/>
              </w:rPr>
              <w:t>È NECESSARIO CHE IL DISTRIBUTORE SI ACCERTI DELLA PRESENZA DEI DATI DI TARGA DIRETTAMENTE SUL PRODOTTO APRENDO ALMENO UNA CONFEZIONE</w:t>
            </w:r>
          </w:p>
          <w:p w:rsidR="00600ED0" w:rsidRDefault="00600ED0" w:rsidP="00695FC3">
            <w:pPr>
              <w:jc w:val="both"/>
            </w:pPr>
          </w:p>
          <w:p w:rsidR="00695FC3" w:rsidRPr="00FA0799" w:rsidRDefault="00695FC3" w:rsidP="00695FC3">
            <w:pPr>
              <w:jc w:val="both"/>
              <w:rPr>
                <w:u w:val="single"/>
              </w:rPr>
            </w:pPr>
            <w:r w:rsidRPr="00FA0799">
              <w:rPr>
                <w:u w:val="single"/>
              </w:rPr>
              <w:t>ISTRUZIONI IN LINGUA ITALIANA</w:t>
            </w:r>
          </w:p>
          <w:p w:rsidR="00695FC3" w:rsidRDefault="00695FC3" w:rsidP="00695FC3">
            <w:pPr>
              <w:jc w:val="both"/>
            </w:pPr>
          </w:p>
          <w:p w:rsidR="00494711" w:rsidRDefault="00695FC3" w:rsidP="00644E2C">
            <w:pPr>
              <w:jc w:val="both"/>
              <w:rPr>
                <w:b/>
              </w:rPr>
            </w:pPr>
            <w:r>
              <w:t xml:space="preserve">La norma impone che ogni prodotto elettrico sia accompagnato da istruzioni e </w:t>
            </w:r>
            <w:r w:rsidR="000A6908">
              <w:t xml:space="preserve">informazioni sulla sicurezza scritte nella lingua ufficiale del paese nel quale il prodotto viene venduto; conseguentemente per i prodotti distribuiti in Italia deve essere almeno presente la lingua italiana. Poiché solitamente le istruzioni sono inserite all’interno delle confezioni </w:t>
            </w:r>
            <w:r w:rsidR="000A6908" w:rsidRPr="00D95470">
              <w:rPr>
                <w:b/>
              </w:rPr>
              <w:t>È NECESSARIO CHE IL DISTRIBUTORE SI ACCERTI DELLA PRESENZA DELLE ISTRUZIONI IN LINGUA ITALIANA APRENDO ALMENO UNA CONFEZIONE</w:t>
            </w:r>
          </w:p>
          <w:p w:rsidR="007E68B4" w:rsidRDefault="007E68B4" w:rsidP="00644E2C">
            <w:pPr>
              <w:jc w:val="both"/>
              <w:rPr>
                <w:b/>
              </w:rPr>
            </w:pPr>
          </w:p>
          <w:p w:rsidR="00AC6EDC" w:rsidRDefault="00AC6EDC" w:rsidP="00624ECA">
            <w:pPr>
              <w:shd w:val="clear" w:color="auto" w:fill="FFFFFF"/>
            </w:pPr>
            <w:r w:rsidRPr="00AC6EDC">
              <w:t xml:space="preserve">Le istruzioni </w:t>
            </w:r>
            <w:r w:rsidR="001E733C">
              <w:t xml:space="preserve">sulla sicurezza </w:t>
            </w:r>
            <w:r w:rsidR="00624ECA" w:rsidRPr="001E733C">
              <w:t xml:space="preserve">devono essere raccolte nella sezione frontale delle istruzioni per l’utilizzatore. </w:t>
            </w:r>
            <w:r w:rsidR="00624ECA" w:rsidRPr="001E733C">
              <w:rPr>
                <w:b/>
              </w:rPr>
              <w:t>L’altezza dei caratteri, misurata sul</w:t>
            </w:r>
            <w:r w:rsidR="001E733C" w:rsidRPr="001E733C">
              <w:rPr>
                <w:b/>
              </w:rPr>
              <w:t>le lettere maiuscole, deve essere di almeno 3 mm</w:t>
            </w:r>
            <w:r w:rsidR="001E733C">
              <w:t xml:space="preserve">; tali istruzioni </w:t>
            </w:r>
            <w:r w:rsidRPr="00AC6EDC">
              <w:t>devono sostanz</w:t>
            </w:r>
            <w:r w:rsidR="001E733C">
              <w:t>ialmente indicare quanto segue:</w:t>
            </w:r>
          </w:p>
          <w:p w:rsidR="001E733C" w:rsidRPr="00AC6EDC" w:rsidRDefault="001E733C" w:rsidP="00624ECA">
            <w:pPr>
              <w:shd w:val="clear" w:color="auto" w:fill="FFFFFF"/>
            </w:pPr>
          </w:p>
          <w:p w:rsidR="004417F0" w:rsidRPr="004417F0" w:rsidRDefault="004417F0" w:rsidP="004417F0">
            <w:pPr>
              <w:shd w:val="clear" w:color="auto" w:fill="FFFFFF"/>
              <w:jc w:val="both"/>
              <w:rPr>
                <w:i/>
              </w:rPr>
            </w:pPr>
            <w:r>
              <w:t>“</w:t>
            </w:r>
            <w:r w:rsidRPr="004417F0">
              <w:rPr>
                <w:i/>
              </w:rPr>
              <w:t>IMPORTANTI ISTRUZIONI DI SICUREZZA LEGGERE ATTENTAMENTE E CONSERVARE PER UN USO FUTURO</w:t>
            </w:r>
          </w:p>
          <w:p w:rsidR="004417F0" w:rsidRPr="004417F0" w:rsidRDefault="004417F0" w:rsidP="004417F0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  <w:rPr>
                <w:i/>
              </w:rPr>
            </w:pPr>
            <w:r w:rsidRPr="004417F0">
              <w:rPr>
                <w:i/>
              </w:rPr>
              <w:t>ATTENZIONE: Se la porta o le guarnizioni della porta sono danneggiate, il forno non deve essere fatto funzionare fino a che non è stato riparato da personale competente.</w:t>
            </w:r>
          </w:p>
          <w:p w:rsidR="004417F0" w:rsidRPr="004417F0" w:rsidRDefault="004417F0" w:rsidP="004417F0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  <w:rPr>
                <w:i/>
              </w:rPr>
            </w:pPr>
            <w:r w:rsidRPr="004417F0">
              <w:rPr>
                <w:i/>
              </w:rPr>
              <w:t>ATTENZIONE: È pericoloso per tutti, ad eccezione del personale addetto, eseguire qualsiasi operazione di manutenzione o di riparazione che implichi la rimozione di qualunque coperchio che protegge contro l’esposizione all’energia delle microonde;</w:t>
            </w:r>
          </w:p>
          <w:p w:rsidR="004417F0" w:rsidRDefault="004417F0" w:rsidP="004417F0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 w:rsidRPr="004417F0">
              <w:rPr>
                <w:i/>
              </w:rPr>
              <w:t>ATTENZIONE: I liquidi e altri cibi non devono essere scaldati in contenitori sigillati poiché potrebbero esplodere</w:t>
            </w:r>
            <w:r>
              <w:t>.”</w:t>
            </w:r>
          </w:p>
          <w:p w:rsidR="004417F0" w:rsidRDefault="004417F0" w:rsidP="004417F0">
            <w:pPr>
              <w:pStyle w:val="Paragrafoelenco"/>
              <w:shd w:val="clear" w:color="auto" w:fill="FFFFFF"/>
              <w:jc w:val="both"/>
            </w:pPr>
          </w:p>
          <w:p w:rsidR="004417F0" w:rsidRDefault="004417F0" w:rsidP="004417F0">
            <w:pPr>
              <w:shd w:val="clear" w:color="auto" w:fill="FFFFFF"/>
              <w:jc w:val="both"/>
            </w:pPr>
            <w:r>
              <w:t>In aggiunta le istruzioni devono contenere sostanzialmente quanto segue:</w:t>
            </w:r>
          </w:p>
          <w:p w:rsidR="004417F0" w:rsidRDefault="004417F0" w:rsidP="004417F0">
            <w:pPr>
              <w:pStyle w:val="Paragrafoelenco"/>
              <w:numPr>
                <w:ilvl w:val="0"/>
                <w:numId w:val="16"/>
              </w:numPr>
              <w:shd w:val="clear" w:color="auto" w:fill="FFFFFF"/>
              <w:jc w:val="both"/>
            </w:pPr>
            <w:r>
              <w:t>“</w:t>
            </w:r>
            <w:r w:rsidRPr="001B106D">
              <w:rPr>
                <w:i/>
              </w:rPr>
              <w:t xml:space="preserve">Questo apparecchio è destinato a essere utilizzato in applicazioni domestiche e simili, quali: nella zona cucina per i dipendenti in negozi, negli uffici e in altri ambienti lavorativi; nelle fattorie; dai clienti in alberghi, nei motel e in ambienti residenziali; </w:t>
            </w:r>
            <w:r w:rsidRPr="001B106D">
              <w:rPr>
                <w:rFonts w:ascii="Calibri" w:hAnsi="Calibri" w:cs="Calibri"/>
                <w:i/>
              </w:rPr>
              <w:t>•</w:t>
            </w:r>
            <w:r w:rsidRPr="001B106D">
              <w:rPr>
                <w:i/>
              </w:rPr>
              <w:t>nei bed and breakfast</w:t>
            </w:r>
            <w:r>
              <w:t>”</w:t>
            </w:r>
          </w:p>
          <w:p w:rsidR="00FE6672" w:rsidRDefault="00FE6672" w:rsidP="004417F0">
            <w:pPr>
              <w:pStyle w:val="Paragrafoelenco"/>
              <w:shd w:val="clear" w:color="auto" w:fill="FFFFFF"/>
              <w:jc w:val="both"/>
            </w:pPr>
            <w:r>
              <w:t>Ove il produttore intenda limitare tali usi devono essere esplicitate tali esclusioni</w:t>
            </w:r>
          </w:p>
          <w:p w:rsidR="00FE6672" w:rsidRDefault="00FE6672" w:rsidP="00FE6672">
            <w:pPr>
              <w:pStyle w:val="Paragrafoelenco"/>
              <w:numPr>
                <w:ilvl w:val="0"/>
                <w:numId w:val="16"/>
              </w:numPr>
              <w:shd w:val="clear" w:color="auto" w:fill="FFFFFF"/>
              <w:jc w:val="both"/>
            </w:pPr>
            <w:r>
              <w:t>Deve essere indicata l</w:t>
            </w:r>
            <w:r w:rsidR="004417F0">
              <w:t>’altezza minima dello spazio libero necessario sopra la</w:t>
            </w:r>
            <w:r>
              <w:t xml:space="preserve"> superficie superiore del forno</w:t>
            </w:r>
          </w:p>
          <w:p w:rsidR="00FE6672" w:rsidRDefault="00FE6672" w:rsidP="00FE6672">
            <w:pPr>
              <w:pStyle w:val="Paragrafoelenco"/>
              <w:numPr>
                <w:ilvl w:val="0"/>
                <w:numId w:val="16"/>
              </w:numPr>
              <w:shd w:val="clear" w:color="auto" w:fill="FFFFFF"/>
              <w:jc w:val="both"/>
            </w:pPr>
            <w:r>
              <w:t>Devo</w:t>
            </w:r>
            <w:r w:rsidR="00523F5A">
              <w:t>no</w:t>
            </w:r>
            <w:r>
              <w:t xml:space="preserve"> inoltre essere presenti le indicazioni:</w:t>
            </w:r>
          </w:p>
          <w:p w:rsidR="00FE6672" w:rsidRDefault="00FE6672" w:rsidP="00FE6672">
            <w:pPr>
              <w:pStyle w:val="Paragrafoelenco"/>
              <w:numPr>
                <w:ilvl w:val="1"/>
                <w:numId w:val="16"/>
              </w:numPr>
              <w:shd w:val="clear" w:color="auto" w:fill="FFFFFF"/>
              <w:jc w:val="both"/>
            </w:pPr>
            <w:r>
              <w:t>“</w:t>
            </w:r>
            <w:r w:rsidR="004417F0" w:rsidRPr="00523F5A">
              <w:rPr>
                <w:i/>
              </w:rPr>
              <w:t>Utilizzare unicamente degli utensili che siano adatti all’uso per i forni a microonde</w:t>
            </w:r>
            <w:r w:rsidR="004417F0">
              <w:t>.</w:t>
            </w:r>
            <w:r w:rsidR="001B106D">
              <w:t>”</w:t>
            </w:r>
          </w:p>
          <w:p w:rsidR="00FE6672" w:rsidRDefault="00FE6672" w:rsidP="00FE6672">
            <w:pPr>
              <w:pStyle w:val="Paragrafoelenco"/>
              <w:numPr>
                <w:ilvl w:val="1"/>
                <w:numId w:val="16"/>
              </w:numPr>
              <w:shd w:val="clear" w:color="auto" w:fill="FFFFFF"/>
              <w:jc w:val="both"/>
            </w:pPr>
            <w:r>
              <w:t>“</w:t>
            </w:r>
            <w:r w:rsidR="004417F0" w:rsidRPr="00523F5A">
              <w:rPr>
                <w:i/>
              </w:rPr>
              <w:t>Quando si scalda del cibo in contenitori di plastica o di carta, fare attenzione poiché vi è la possibilità di infiammabilità</w:t>
            </w:r>
            <w:r w:rsidR="001B106D">
              <w:t>.”</w:t>
            </w:r>
          </w:p>
          <w:p w:rsidR="00FE6672" w:rsidRDefault="00FE6672" w:rsidP="00FE6672">
            <w:pPr>
              <w:pStyle w:val="Paragrafoelenco"/>
              <w:numPr>
                <w:ilvl w:val="1"/>
                <w:numId w:val="16"/>
              </w:numPr>
              <w:shd w:val="clear" w:color="auto" w:fill="FFFFFF"/>
              <w:jc w:val="both"/>
            </w:pPr>
            <w:r>
              <w:t>“</w:t>
            </w:r>
            <w:r w:rsidRPr="00523F5A">
              <w:rPr>
                <w:i/>
              </w:rPr>
              <w:t>Il</w:t>
            </w:r>
            <w:r w:rsidR="004417F0" w:rsidRPr="00523F5A">
              <w:rPr>
                <w:i/>
              </w:rPr>
              <w:t xml:space="preserve"> forno a microonde ha lo scopo di riscaldare cibi e bevande. Ut</w:t>
            </w:r>
            <w:r w:rsidRPr="00523F5A">
              <w:rPr>
                <w:i/>
              </w:rPr>
              <w:t xml:space="preserve">ilizzarlo per disidratare cibi o asciugare vestiti  oppure per riscaldare cuscinetti riscaldanti, </w:t>
            </w:r>
            <w:r w:rsidR="004417F0" w:rsidRPr="00523F5A">
              <w:rPr>
                <w:i/>
              </w:rPr>
              <w:t>p</w:t>
            </w:r>
            <w:r w:rsidRPr="00523F5A">
              <w:rPr>
                <w:i/>
              </w:rPr>
              <w:t xml:space="preserve">antofole, spugne, </w:t>
            </w:r>
            <w:r w:rsidR="004417F0" w:rsidRPr="00523F5A">
              <w:rPr>
                <w:i/>
              </w:rPr>
              <w:t>panni umidi o simili può portare al rischio di</w:t>
            </w:r>
            <w:r w:rsidRPr="00523F5A">
              <w:rPr>
                <w:i/>
              </w:rPr>
              <w:t xml:space="preserve"> </w:t>
            </w:r>
            <w:r w:rsidR="001B106D" w:rsidRPr="00523F5A">
              <w:rPr>
                <w:i/>
              </w:rPr>
              <w:t>lesioni, accensione o incendio.”</w:t>
            </w:r>
          </w:p>
          <w:p w:rsidR="00FE6672" w:rsidRDefault="00FE6672" w:rsidP="00FE6672">
            <w:pPr>
              <w:pStyle w:val="Paragrafoelenco"/>
              <w:numPr>
                <w:ilvl w:val="1"/>
                <w:numId w:val="16"/>
              </w:numPr>
              <w:shd w:val="clear" w:color="auto" w:fill="FFFFFF"/>
              <w:jc w:val="both"/>
            </w:pPr>
            <w:r>
              <w:t>“</w:t>
            </w:r>
            <w:r w:rsidRPr="00523F5A">
              <w:rPr>
                <w:i/>
              </w:rPr>
              <w:t xml:space="preserve">Se c’è emissione di fumo, spegnere l’apparecchio o staccarlo dall’alimentazione e </w:t>
            </w:r>
            <w:r w:rsidR="004417F0" w:rsidRPr="00523F5A">
              <w:rPr>
                <w:i/>
              </w:rPr>
              <w:t>mantenere lo sportello chiuso onde soffocare le eventuali fi</w:t>
            </w:r>
            <w:r w:rsidRPr="00523F5A">
              <w:rPr>
                <w:i/>
              </w:rPr>
              <w:t>amme</w:t>
            </w:r>
            <w:r w:rsidR="001B106D" w:rsidRPr="00523F5A">
              <w:rPr>
                <w:i/>
              </w:rPr>
              <w:t>.</w:t>
            </w:r>
            <w:r>
              <w:t>”</w:t>
            </w:r>
          </w:p>
          <w:p w:rsidR="00FE6672" w:rsidRDefault="00FE6672" w:rsidP="00FE6672">
            <w:pPr>
              <w:pStyle w:val="Paragrafoelenco"/>
              <w:numPr>
                <w:ilvl w:val="1"/>
                <w:numId w:val="16"/>
              </w:numPr>
              <w:shd w:val="clear" w:color="auto" w:fill="FFFFFF"/>
              <w:jc w:val="both"/>
            </w:pPr>
            <w:r>
              <w:t>“</w:t>
            </w:r>
            <w:r w:rsidR="004417F0" w:rsidRPr="00523F5A">
              <w:rPr>
                <w:i/>
              </w:rPr>
              <w:t>Il riscaldamento di bevande nei forni a microonde può avere come risultato un’ebollizione eruttiva ritardata, perciò occorre prestare attenzione quando si maneggia il contenitore</w:t>
            </w:r>
            <w:r w:rsidR="001B106D" w:rsidRPr="00523F5A">
              <w:rPr>
                <w:i/>
              </w:rPr>
              <w:t>.</w:t>
            </w:r>
            <w:r>
              <w:t>”</w:t>
            </w:r>
          </w:p>
          <w:p w:rsidR="001B106D" w:rsidRDefault="00FE6672" w:rsidP="00FE6672">
            <w:pPr>
              <w:pStyle w:val="Paragrafoelenco"/>
              <w:numPr>
                <w:ilvl w:val="1"/>
                <w:numId w:val="16"/>
              </w:numPr>
              <w:shd w:val="clear" w:color="auto" w:fill="FFFFFF"/>
              <w:jc w:val="both"/>
            </w:pPr>
            <w:r>
              <w:lastRenderedPageBreak/>
              <w:t>“</w:t>
            </w:r>
            <w:r w:rsidRPr="00523F5A">
              <w:rPr>
                <w:i/>
              </w:rPr>
              <w:t xml:space="preserve">Il contenuto di biberon e gli omogeneizzati in </w:t>
            </w:r>
            <w:r w:rsidR="004417F0" w:rsidRPr="00523F5A">
              <w:rPr>
                <w:i/>
              </w:rPr>
              <w:t>vasett</w:t>
            </w:r>
            <w:r w:rsidRPr="00523F5A">
              <w:rPr>
                <w:i/>
              </w:rPr>
              <w:t xml:space="preserve">i devono essere mescolati o agitati </w:t>
            </w:r>
            <w:r w:rsidR="004417F0" w:rsidRPr="00523F5A">
              <w:rPr>
                <w:i/>
              </w:rPr>
              <w:t>dopo il riscaldamento e la temperatura deve essere controllata prima della consumazione per evitare scottature.</w:t>
            </w:r>
            <w:r w:rsidR="001B106D">
              <w:t>”</w:t>
            </w:r>
          </w:p>
          <w:p w:rsidR="001B106D" w:rsidRDefault="001B106D" w:rsidP="001B106D">
            <w:pPr>
              <w:pStyle w:val="Paragrafoelenco"/>
              <w:numPr>
                <w:ilvl w:val="1"/>
                <w:numId w:val="16"/>
              </w:numPr>
              <w:shd w:val="clear" w:color="auto" w:fill="FFFFFF"/>
              <w:jc w:val="both"/>
            </w:pPr>
            <w:r>
              <w:t>“</w:t>
            </w:r>
            <w:r w:rsidRPr="00523F5A">
              <w:rPr>
                <w:i/>
              </w:rPr>
              <w:t>Le uova nel</w:t>
            </w:r>
            <w:r w:rsidR="004417F0" w:rsidRPr="00523F5A">
              <w:rPr>
                <w:i/>
              </w:rPr>
              <w:t xml:space="preserve"> guscio </w:t>
            </w:r>
            <w:r w:rsidRPr="00523F5A">
              <w:rPr>
                <w:i/>
              </w:rPr>
              <w:t>e le uova  sode intere non devono essere riscaldate nei forni a microonde poiché potrebbero esplodere anche una volta terminata</w:t>
            </w:r>
            <w:r w:rsidR="004417F0" w:rsidRPr="00523F5A">
              <w:rPr>
                <w:i/>
              </w:rPr>
              <w:t xml:space="preserve"> l’operaz</w:t>
            </w:r>
            <w:r w:rsidRPr="00523F5A">
              <w:rPr>
                <w:i/>
              </w:rPr>
              <w:t>ione di riscaldamento nel microonde.</w:t>
            </w:r>
            <w:r>
              <w:t>”</w:t>
            </w:r>
          </w:p>
          <w:p w:rsidR="001B106D" w:rsidRDefault="001B106D" w:rsidP="001B106D">
            <w:pPr>
              <w:pStyle w:val="Paragrafoelenco"/>
              <w:numPr>
                <w:ilvl w:val="1"/>
                <w:numId w:val="16"/>
              </w:numPr>
              <w:shd w:val="clear" w:color="auto" w:fill="FFFFFF"/>
              <w:jc w:val="both"/>
            </w:pPr>
            <w:r>
              <w:t>per gli apparecchi dotati di un dispositivo che utilizza una sonda termica “</w:t>
            </w:r>
            <w:r w:rsidRPr="00523F5A">
              <w:rPr>
                <w:i/>
              </w:rPr>
              <w:t>Utilizzare solamente la sonda termica consigliata per questo forno a microonde.</w:t>
            </w:r>
            <w:r>
              <w:t>”</w:t>
            </w:r>
          </w:p>
          <w:p w:rsidR="004B1E69" w:rsidRDefault="004B1E69" w:rsidP="004B1E69">
            <w:pPr>
              <w:pStyle w:val="Paragrafoelenco"/>
              <w:numPr>
                <w:ilvl w:val="1"/>
                <w:numId w:val="16"/>
              </w:numPr>
              <w:shd w:val="clear" w:color="auto" w:fill="FFFFFF"/>
              <w:jc w:val="both"/>
            </w:pPr>
            <w:r>
              <w:t xml:space="preserve">dettagli per la pulizia delle guarnizioni delle porte della cavità e </w:t>
            </w:r>
            <w:r w:rsidR="004417F0">
              <w:t>delle</w:t>
            </w:r>
            <w:r>
              <w:t xml:space="preserve"> parti adiacenti, con l’indicazione “</w:t>
            </w:r>
            <w:r w:rsidRPr="00523F5A">
              <w:rPr>
                <w:i/>
              </w:rPr>
              <w:t xml:space="preserve">Il </w:t>
            </w:r>
            <w:r w:rsidR="004417F0" w:rsidRPr="00523F5A">
              <w:rPr>
                <w:i/>
              </w:rPr>
              <w:t>forno</w:t>
            </w:r>
            <w:r w:rsidRPr="00523F5A">
              <w:rPr>
                <w:i/>
              </w:rPr>
              <w:t xml:space="preserve"> dovrebbe essere pulito periodicamente e si dovrebbe rimuovere ogni residuo di cibo. </w:t>
            </w:r>
            <w:r w:rsidR="004417F0" w:rsidRPr="00523F5A">
              <w:rPr>
                <w:i/>
              </w:rPr>
              <w:t>La mancata pulizia del forno potrebbe provocare il deterioramento delle sup</w:t>
            </w:r>
            <w:r w:rsidRPr="00523F5A">
              <w:rPr>
                <w:i/>
              </w:rPr>
              <w:t>erfici, fatto che influirebbe n</w:t>
            </w:r>
            <w:r w:rsidR="004417F0" w:rsidRPr="00523F5A">
              <w:rPr>
                <w:i/>
              </w:rPr>
              <w:t>egativamente</w:t>
            </w:r>
            <w:r w:rsidRPr="00523F5A">
              <w:rPr>
                <w:i/>
              </w:rPr>
              <w:t xml:space="preserve"> sulla</w:t>
            </w:r>
            <w:r w:rsidR="004417F0" w:rsidRPr="00523F5A">
              <w:rPr>
                <w:i/>
              </w:rPr>
              <w:t xml:space="preserve"> vita</w:t>
            </w:r>
            <w:r w:rsidRPr="00523F5A">
              <w:rPr>
                <w:i/>
              </w:rPr>
              <w:t xml:space="preserve"> dell’apparecchio e dare origine a una situazione di </w:t>
            </w:r>
            <w:r w:rsidR="004417F0" w:rsidRPr="00523F5A">
              <w:rPr>
                <w:i/>
              </w:rPr>
              <w:t>pericolo.</w:t>
            </w:r>
            <w:r>
              <w:t>”</w:t>
            </w:r>
          </w:p>
          <w:p w:rsidR="004B1E69" w:rsidRDefault="004B1E69" w:rsidP="004B1E69">
            <w:pPr>
              <w:shd w:val="clear" w:color="auto" w:fill="FFFFFF"/>
              <w:jc w:val="both"/>
            </w:pPr>
          </w:p>
          <w:p w:rsidR="00CA34EA" w:rsidRPr="007E68B4" w:rsidRDefault="004B1E69" w:rsidP="00523F5A">
            <w:pPr>
              <w:shd w:val="clear" w:color="auto" w:fill="FFFFFF"/>
              <w:jc w:val="both"/>
            </w:pPr>
            <w:r>
              <w:t xml:space="preserve">Infine il produttore deve dichiarare nelle istruzioni se il forno a microonde è destinato al posizionamento libero, all’incasso o in un  armadietto. Se l’apparecchio può essere utilizzato </w:t>
            </w:r>
            <w:r w:rsidR="004417F0">
              <w:t>mentre si trova in un armadiett</w:t>
            </w:r>
            <w:r>
              <w:t xml:space="preserve">o, </w:t>
            </w:r>
            <w:r w:rsidR="004417F0">
              <w:t xml:space="preserve">il produttore deve fornire le dimensioni </w:t>
            </w:r>
            <w:r>
              <w:t xml:space="preserve">minime dell’armadietto, e le istruzioni devono </w:t>
            </w:r>
            <w:r w:rsidR="004417F0">
              <w:t xml:space="preserve">indicare </w:t>
            </w:r>
            <w:r>
              <w:t>che l’apparecchio deve essere fatto funzionare con la porta</w:t>
            </w:r>
            <w:r w:rsidR="004417F0">
              <w:t xml:space="preserve"> dell’armadietto aperta.</w:t>
            </w:r>
            <w:r w:rsidR="00523F5A">
              <w:t xml:space="preserve"> Le istruzioni relative ai forni a microonde che </w:t>
            </w:r>
            <w:r w:rsidR="004417F0">
              <w:t>han</w:t>
            </w:r>
            <w:r w:rsidR="00523F5A">
              <w:t xml:space="preserve">no uno sportello decorativo devono </w:t>
            </w:r>
            <w:r w:rsidR="004417F0">
              <w:t>indicare che l’apparecchio deve essere fatto funzionare con l</w:t>
            </w:r>
            <w:r w:rsidR="00523F5A">
              <w:t>o sportello decorativo aperto.</w:t>
            </w:r>
          </w:p>
        </w:tc>
      </w:tr>
      <w:tr w:rsidR="00802B0F" w:rsidTr="004D219C">
        <w:tc>
          <w:tcPr>
            <w:tcW w:w="1188" w:type="pct"/>
            <w:shd w:val="clear" w:color="auto" w:fill="auto"/>
          </w:tcPr>
          <w:p w:rsidR="00802B0F" w:rsidRDefault="000A6908" w:rsidP="00CF4B55">
            <w:pPr>
              <w:jc w:val="both"/>
            </w:pPr>
            <w:r>
              <w:lastRenderedPageBreak/>
              <w:t>ULTERIORI CONTROLLI VISIVI</w:t>
            </w:r>
            <w:r w:rsidR="00D15188">
              <w:t xml:space="preserve"> E ADEMPIMENTI</w:t>
            </w:r>
          </w:p>
          <w:p w:rsidR="00802B0F" w:rsidRDefault="00802B0F" w:rsidP="00360B05">
            <w:pPr>
              <w:jc w:val="both"/>
            </w:pPr>
            <w:r>
              <w:t>Quando il distributore “ritiene o ha motivo di ritenere che non sia rispettata la conformità”, deve assicurarsi che venga posto rimedio.</w:t>
            </w:r>
          </w:p>
        </w:tc>
        <w:tc>
          <w:tcPr>
            <w:tcW w:w="3812" w:type="pct"/>
            <w:shd w:val="clear" w:color="auto" w:fill="auto"/>
          </w:tcPr>
          <w:p w:rsidR="00523F5A" w:rsidRPr="00523F5A" w:rsidRDefault="00523F5A" w:rsidP="00B60B69">
            <w:pPr>
              <w:spacing w:after="60"/>
              <w:jc w:val="both"/>
              <w:rPr>
                <w:sz w:val="18"/>
                <w:szCs w:val="18"/>
                <w:u w:val="single"/>
              </w:rPr>
            </w:pPr>
          </w:p>
          <w:p w:rsidR="004D219C" w:rsidRPr="00AE503E" w:rsidRDefault="004D219C" w:rsidP="00B60B69">
            <w:pPr>
              <w:spacing w:after="60"/>
              <w:jc w:val="both"/>
              <w:rPr>
                <w:u w:val="single"/>
              </w:rPr>
            </w:pPr>
            <w:r w:rsidRPr="00AE503E">
              <w:rPr>
                <w:u w:val="single"/>
              </w:rPr>
              <w:t>CONSERVAZIONE DEI PRODOTTI</w:t>
            </w:r>
          </w:p>
          <w:p w:rsidR="004D219C" w:rsidRPr="00D95470" w:rsidRDefault="004D219C" w:rsidP="00BB1C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219C">
              <w:t>I distributori garantiscono che, mentre il materiale elettrico</w:t>
            </w:r>
            <w:r>
              <w:t xml:space="preserve"> è sotto la loro responsabilità</w:t>
            </w:r>
            <w:r w:rsidRPr="004D219C">
              <w:t>, le sue condizioni di</w:t>
            </w:r>
            <w:r>
              <w:t xml:space="preserve"> </w:t>
            </w:r>
            <w:r w:rsidRPr="004D219C">
              <w:t>immagazzinamento o di trasporto non mettono a rischio la sua</w:t>
            </w:r>
            <w:r>
              <w:t xml:space="preserve"> conformità </w:t>
            </w:r>
            <w:r w:rsidRPr="004D219C">
              <w:t>agli obiettivi di sicurezza</w:t>
            </w:r>
            <w:r>
              <w:t xml:space="preserve">. Umidità, polvere, escursioni termiche (compresa l’esposizione al sole) o </w:t>
            </w:r>
            <w:r w:rsidR="009E3DB2">
              <w:t>pesi</w:t>
            </w:r>
            <w:r w:rsidR="00AF7C2C">
              <w:t xml:space="preserve"> eccessivi </w:t>
            </w:r>
            <w:r w:rsidR="009E3DB2">
              <w:t>caricati sui</w:t>
            </w:r>
            <w:r w:rsidR="00AF7C2C">
              <w:t xml:space="preserve"> prodotti elettrici ne determinano un deterioramento che condiziona la conformità dei prodotti alla sicurezza ad ess</w:t>
            </w:r>
            <w:r w:rsidR="009E3DB2">
              <w:t>i</w:t>
            </w:r>
            <w:r w:rsidR="00AF7C2C">
              <w:t xml:space="preserve"> richiesta; la mancata conformità ascrivibile alle cattive condizioni di conservazione diventa imputabile al distributore</w:t>
            </w:r>
            <w:r w:rsidR="00856AE1">
              <w:t xml:space="preserve"> ove non sia dimostrabile dipenda da altri soggetti</w:t>
            </w:r>
            <w:r w:rsidR="009E3DB2">
              <w:t xml:space="preserve">; </w:t>
            </w:r>
            <w:r w:rsidR="00AF7C2C">
              <w:t xml:space="preserve">pertanto </w:t>
            </w:r>
            <w:r w:rsidR="00AF7C2C" w:rsidRPr="00D95470">
              <w:rPr>
                <w:b/>
              </w:rPr>
              <w:t xml:space="preserve">È NECESSARIO CHE IL DISTRIBUTORE </w:t>
            </w:r>
            <w:r w:rsidR="00856AE1" w:rsidRPr="00D95470">
              <w:rPr>
                <w:b/>
              </w:rPr>
              <w:t>SI ACCERTI DE</w:t>
            </w:r>
            <w:r w:rsidR="001C1ECA" w:rsidRPr="00D95470">
              <w:rPr>
                <w:b/>
              </w:rPr>
              <w:t xml:space="preserve">LL’INTEGRITA’ DELLE CONFEZIONI E </w:t>
            </w:r>
            <w:r w:rsidR="00856AE1" w:rsidRPr="00D95470">
              <w:rPr>
                <w:b/>
              </w:rPr>
              <w:t>DELLA MANCANZA DI SEGNI DI UMIDITA’ O SCOLORIMENTO DELLE STESSE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856AE1" w:rsidRPr="00AE503E" w:rsidRDefault="00856AE1" w:rsidP="004D219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AE503E">
              <w:rPr>
                <w:u w:val="single"/>
              </w:rPr>
              <w:t>CONTROLLI VISIVI ULTERIORI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B60B69" w:rsidRPr="004D219C" w:rsidRDefault="00FA0799" w:rsidP="00B60B69">
            <w:pPr>
              <w:spacing w:after="60"/>
              <w:jc w:val="both"/>
            </w:pPr>
            <w:r w:rsidRPr="004D219C">
              <w:t xml:space="preserve">Sulla base di quanto previsto per i controlli visivi obbligatori è necessario che il distributore apra almeno una confezione per ogni apparecchio che pone in vendita e potrebbe essere opportuno registrare su una </w:t>
            </w:r>
            <w:proofErr w:type="spellStart"/>
            <w:r w:rsidRPr="004D219C">
              <w:t>check</w:t>
            </w:r>
            <w:proofErr w:type="spellEnd"/>
            <w:r w:rsidRPr="004D219C">
              <w:t xml:space="preserve"> list (vedi fac-simile in allegato alla scheda) i risultati </w:t>
            </w:r>
            <w:r w:rsidR="00856AE1">
              <w:t>di tale</w:t>
            </w:r>
            <w:r w:rsidR="00D15188" w:rsidRPr="004D219C">
              <w:t xml:space="preserve"> controllo, in modo da poterli</w:t>
            </w:r>
            <w:r w:rsidRPr="004D219C">
              <w:t xml:space="preserve"> opporre</w:t>
            </w:r>
            <w:r w:rsidR="00D15188" w:rsidRPr="004D219C">
              <w:t>,</w:t>
            </w:r>
            <w:r w:rsidRPr="004D219C">
              <w:t xml:space="preserve"> in caso di eventuali contestazioni</w:t>
            </w:r>
            <w:r w:rsidR="00D15188" w:rsidRPr="004D219C">
              <w:t xml:space="preserve">, </w:t>
            </w:r>
            <w:r w:rsidRPr="004D219C">
              <w:t>dimostrando così il proprio operato in aderenza alla norma.</w:t>
            </w:r>
          </w:p>
          <w:p w:rsidR="00856AE1" w:rsidRDefault="00856AE1" w:rsidP="00B60B69">
            <w:pPr>
              <w:spacing w:after="60"/>
              <w:jc w:val="both"/>
            </w:pPr>
            <w:r>
              <w:t>Ove l’esito dei controlli visivi obbligatori</w:t>
            </w:r>
            <w:r w:rsidR="00FA1C99">
              <w:t xml:space="preserve"> sia positivo è opportuno che</w:t>
            </w:r>
            <w:r w:rsidR="00BC05E8">
              <w:t xml:space="preserve"> comunque</w:t>
            </w:r>
            <w:r w:rsidR="00FA1C99">
              <w:t xml:space="preserve"> il distributore valuti i seguenti aspetti:</w:t>
            </w:r>
          </w:p>
          <w:p w:rsidR="00FA1C99" w:rsidRDefault="00FA1C99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 xml:space="preserve">RAGIONEVOLE QUALITÀ DEI MATERIALI: il materiale elettrico deve </w:t>
            </w:r>
            <w:r w:rsidRPr="00FA1C99">
              <w:t>present</w:t>
            </w:r>
            <w:r>
              <w:t>are le</w:t>
            </w:r>
            <w:r w:rsidRPr="00FA1C99">
              <w:t xml:space="preserve"> caratteristiche meccaniche </w:t>
            </w:r>
            <w:r>
              <w:t xml:space="preserve">necessarie a </w:t>
            </w:r>
            <w:r w:rsidRPr="00FA1C99">
              <w:t>non causare pericolo alle persone, a</w:t>
            </w:r>
            <w:r>
              <w:t>gli animali domestici e ai beni, è pertanto da rilevare come non conforme la presenza di</w:t>
            </w:r>
            <w:r w:rsidR="00402EE3">
              <w:t xml:space="preserve"> parti acuminate o</w:t>
            </w:r>
            <w:r>
              <w:t xml:space="preserve"> taglienti </w:t>
            </w:r>
            <w:r w:rsidR="00402EE3">
              <w:t xml:space="preserve">dovute a difetti di stampaggio o assemblaggio; </w:t>
            </w:r>
            <w:r>
              <w:t>o la possibilità che</w:t>
            </w:r>
            <w:r w:rsidR="00402EE3">
              <w:t xml:space="preserve"> in base al materiale usato e </w:t>
            </w:r>
            <w:r w:rsidR="00402EE3">
              <w:lastRenderedPageBreak/>
              <w:t>alla sua destinazione d’uso</w:t>
            </w:r>
            <w:r>
              <w:t xml:space="preserve"> sollecitazioni meccaniche applicate al materiale elettrico </w:t>
            </w:r>
            <w:r w:rsidR="00402EE3">
              <w:t xml:space="preserve">facilmente </w:t>
            </w:r>
            <w:r>
              <w:t xml:space="preserve">ne determinino </w:t>
            </w:r>
            <w:r w:rsidR="00402EE3">
              <w:t>l’insorgenza</w:t>
            </w:r>
          </w:p>
          <w:p w:rsidR="00402EE3" w:rsidRDefault="00BC05E8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>RAGIONEVOLE QUALITÀ DELLA SICUREZZA ELETTRICA: la presenza di fili o connessioni elettriche scoperte, l’eccessiva sottigliezza dei cavi elettrici, la presenza di spine elettriche non standard</w:t>
            </w:r>
            <w:r w:rsidR="009C3FFC">
              <w:t>, la presenza di isolamenti in plastica sottile o con strani odori</w:t>
            </w:r>
            <w:r w:rsidR="00AE503E">
              <w:t xml:space="preserve"> sono indice di scarsa sicurezza e conseguentemente non conformità</w:t>
            </w:r>
          </w:p>
          <w:p w:rsidR="00BC05E8" w:rsidRDefault="00BC05E8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 xml:space="preserve">ASPETTO GRAFICO DELLA MARCATURA CE: </w:t>
            </w:r>
            <w:r w:rsidR="004D1159">
              <w:t xml:space="preserve">spesso, quando la marcatura CE viene apposta in assenza dei dovuti controlli da parte del fabbricante risulta graficamente non conforme o apposta in maniera facilmente rimovibile. Il distributore è tenuto </w:t>
            </w:r>
            <w:r w:rsidR="009C3FFC">
              <w:t xml:space="preserve">dunque </w:t>
            </w:r>
            <w:r w:rsidR="004D1159">
              <w:t xml:space="preserve">a valutare che </w:t>
            </w:r>
            <w:r w:rsidR="009C3FFC">
              <w:t>siano rispettate le proporzioni seguenti , senza cioè palesi deformazioni</w:t>
            </w:r>
            <w:r w:rsidR="00236C55">
              <w:t xml:space="preserve"> </w:t>
            </w:r>
            <w:r w:rsidR="009C3FFC">
              <w:t>(ad esempio C ed E molto ravvicinati o allungati) e che il marchio</w:t>
            </w:r>
            <w:r w:rsidR="004D1159">
              <w:t xml:space="preserve"> abbi</w:t>
            </w:r>
            <w:r w:rsidR="009C3FFC">
              <w:t>a una dimensione minima di 5 mm:</w:t>
            </w:r>
          </w:p>
          <w:p w:rsidR="009C3FFC" w:rsidRDefault="000E6D6E" w:rsidP="009C3FFC">
            <w:pPr>
              <w:pStyle w:val="Paragrafoelenco"/>
              <w:autoSpaceDE w:val="0"/>
              <w:autoSpaceDN w:val="0"/>
              <w:adjustRightInd w:val="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9984" behindDoc="0" locked="0" layoutInCell="1" allowOverlap="1" wp14:anchorId="1DBB127B" wp14:editId="2CC0CB68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-4445</wp:posOffset>
                  </wp:positionV>
                  <wp:extent cx="1181100" cy="699135"/>
                  <wp:effectExtent l="0" t="0" r="0" b="5715"/>
                  <wp:wrapNone/>
                  <wp:docPr id="13" name="Immagine 13" descr="V:\Tutela Consumatore\MetrLegale\Statistiche Metrologia\ce-ma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Tutela Consumatore\MetrLegale\Statistiche Metrologia\ce-ma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856AE1" w:rsidRDefault="00856AE1" w:rsidP="00B60B69">
            <w:pPr>
              <w:spacing w:after="60"/>
              <w:jc w:val="both"/>
            </w:pPr>
          </w:p>
          <w:p w:rsidR="009C3FFC" w:rsidRDefault="009C3FFC" w:rsidP="00B60B69">
            <w:pPr>
              <w:spacing w:after="60"/>
              <w:jc w:val="both"/>
            </w:pPr>
          </w:p>
          <w:p w:rsidR="00CF4B55" w:rsidRDefault="008246D3" w:rsidP="00494711">
            <w:pPr>
              <w:jc w:val="both"/>
            </w:pPr>
            <w:r>
              <w:t>SE UN PRODOTTO NON SUPERA IN MANIERA SODDISFACENTE TUTTI E TRE I CONTROLLI PRECEDENTI</w:t>
            </w:r>
            <w:r w:rsidR="00494711">
              <w:t>,</w:t>
            </w:r>
            <w:r>
              <w:t xml:space="preserve"> E’ OPPORTUNO CHE </w:t>
            </w:r>
            <w:r w:rsidR="00494711">
              <w:t>IL</w:t>
            </w:r>
            <w:r>
              <w:t xml:space="preserve"> DISTRIBUTORE NON PROCEDA ALLA SUA MESSA IN VENDITA </w:t>
            </w:r>
            <w:r w:rsidR="00494711">
              <w:t>E CONTATTI SIA IL SUO FORNITORE CHE LA CAMERA DI COMMERCIO</w:t>
            </w:r>
          </w:p>
          <w:p w:rsidR="00770DFD" w:rsidRDefault="00770DFD" w:rsidP="00494711">
            <w:pPr>
              <w:jc w:val="both"/>
            </w:pPr>
          </w:p>
        </w:tc>
      </w:tr>
      <w:tr w:rsidR="00272345" w:rsidTr="004D219C">
        <w:tc>
          <w:tcPr>
            <w:tcW w:w="1188" w:type="pct"/>
            <w:shd w:val="clear" w:color="auto" w:fill="auto"/>
          </w:tcPr>
          <w:p w:rsidR="00272345" w:rsidRDefault="00272345" w:rsidP="00272345">
            <w:pPr>
              <w:jc w:val="both"/>
            </w:pPr>
            <w:r>
              <w:lastRenderedPageBreak/>
              <w:t>Fac-simile di etichetta</w:t>
            </w:r>
          </w:p>
          <w:p w:rsidR="00272345" w:rsidRDefault="00272345" w:rsidP="00272345">
            <w:pPr>
              <w:jc w:val="both"/>
            </w:pPr>
            <w:r>
              <w:t>esempio di etichetta riportante il contenuto minimo informativo previsto dalla norma</w:t>
            </w:r>
          </w:p>
        </w:tc>
        <w:tc>
          <w:tcPr>
            <w:tcW w:w="3812" w:type="pct"/>
            <w:shd w:val="clear" w:color="auto" w:fill="auto"/>
          </w:tcPr>
          <w:p w:rsidR="00272345" w:rsidRDefault="00272345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  <w:r>
              <w:rPr>
                <w:noProof/>
                <w:u w:val="single"/>
                <w:lang w:eastAsia="it-IT"/>
              </w:rPr>
              <w:drawing>
                <wp:anchor distT="0" distB="0" distL="114300" distR="114300" simplePos="0" relativeHeight="251676672" behindDoc="0" locked="0" layoutInCell="1" allowOverlap="1" wp14:anchorId="52E6D961" wp14:editId="7D2E3F7E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62865</wp:posOffset>
                  </wp:positionV>
                  <wp:extent cx="3848100" cy="2486025"/>
                  <wp:effectExtent l="0" t="0" r="0" b="952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empio fisso int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0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306CBA" w:rsidRDefault="00306CBA" w:rsidP="00B60B69">
            <w:pPr>
              <w:spacing w:after="60"/>
              <w:jc w:val="both"/>
              <w:rPr>
                <w:u w:val="single"/>
              </w:rPr>
            </w:pPr>
          </w:p>
          <w:p w:rsidR="00306CBA" w:rsidRPr="00AE503E" w:rsidRDefault="00306CBA" w:rsidP="00B60B69">
            <w:pPr>
              <w:spacing w:after="60"/>
              <w:jc w:val="both"/>
              <w:rPr>
                <w:u w:val="single"/>
              </w:rPr>
            </w:pP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 xml:space="preserve">Riferimenti alle norme comunitarie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802B0F" w:rsidRDefault="00802B0F" w:rsidP="00802B0F">
            <w:pPr>
              <w:pStyle w:val="Paragrafoelenco"/>
              <w:numPr>
                <w:ilvl w:val="0"/>
                <w:numId w:val="1"/>
              </w:numPr>
              <w:ind w:left="460" w:hanging="425"/>
              <w:jc w:val="both"/>
            </w:pPr>
            <w:r w:rsidRPr="002F0727">
              <w:rPr>
                <w:b/>
              </w:rPr>
              <w:t>2014/35/UE</w:t>
            </w:r>
            <w:r>
              <w:t xml:space="preserve"> </w:t>
            </w:r>
            <w:r w:rsidRPr="009C3208">
              <w:t>(</w:t>
            </w:r>
            <w:r>
              <w:t>Direttiva Bassa Tensione)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"/>
              </w:numPr>
              <w:ind w:left="460" w:hanging="425"/>
              <w:jc w:val="both"/>
            </w:pPr>
            <w:r w:rsidRPr="002F0727">
              <w:rPr>
                <w:b/>
              </w:rPr>
              <w:t>2014/30/UE</w:t>
            </w:r>
            <w:r w:rsidRPr="009C3208">
              <w:t xml:space="preserve"> (</w:t>
            </w:r>
            <w:r>
              <w:t>Direttiva Compatibilità Elettromagnetica)</w:t>
            </w:r>
          </w:p>
          <w:p w:rsidR="009E612E" w:rsidRDefault="00E5774A" w:rsidP="009E3DB2">
            <w:pPr>
              <w:pStyle w:val="Paragrafoelenco"/>
              <w:numPr>
                <w:ilvl w:val="0"/>
                <w:numId w:val="1"/>
              </w:numPr>
              <w:ind w:left="460" w:hanging="425"/>
              <w:jc w:val="both"/>
            </w:pPr>
            <w:r>
              <w:rPr>
                <w:b/>
              </w:rPr>
              <w:lastRenderedPageBreak/>
              <w:t xml:space="preserve">2011/65/UE </w:t>
            </w:r>
            <w:r w:rsidRPr="00E5774A">
              <w:t>(restrizione dell’uso di sostanze pericolose nelle AEE)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lastRenderedPageBreak/>
              <w:t>Riferimenti alle norme nazionali applicabili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 w:rsidRPr="002F3A95">
              <w:rPr>
                <w:b/>
              </w:rPr>
              <w:t>Decreto Legislativo 19 maggio 2016, n. 86</w:t>
            </w:r>
            <w:r>
              <w:t xml:space="preserve"> (Bassa Tensione)</w:t>
            </w:r>
          </w:p>
          <w:p w:rsidR="00802B0F" w:rsidRDefault="00802B0F" w:rsidP="00CF4B55">
            <w:pPr>
              <w:jc w:val="both"/>
            </w:pPr>
            <w:r w:rsidRPr="002F3A95">
              <w:rPr>
                <w:b/>
              </w:rPr>
              <w:t>Decreto Legislativo 18 maggio 2016, n. 80</w:t>
            </w:r>
            <w:r>
              <w:t xml:space="preserve"> (Compatibilità Elettromagnetica)</w:t>
            </w:r>
          </w:p>
          <w:p w:rsidR="002A4A4E" w:rsidRDefault="00E5774A" w:rsidP="00CF4B55">
            <w:pPr>
              <w:jc w:val="both"/>
            </w:pPr>
            <w:r w:rsidRPr="00E5774A">
              <w:rPr>
                <w:b/>
              </w:rPr>
              <w:t>Decreto Legislativo 04 marzo 2014, n. 27</w:t>
            </w:r>
            <w:r>
              <w:t xml:space="preserve"> </w:t>
            </w:r>
            <w:r w:rsidRPr="00E5774A">
              <w:t>(restrizione dell’uso di sostanze pericolose nelle AEE)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 xml:space="preserve">Riferimenti alle norme tecniche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523F5A" w:rsidRDefault="00802B0F" w:rsidP="00523F5A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 w:rsidRPr="008B465B">
              <w:rPr>
                <w:b/>
              </w:rPr>
              <w:t xml:space="preserve">EN </w:t>
            </w:r>
            <w:r w:rsidR="002B2230">
              <w:rPr>
                <w:b/>
              </w:rPr>
              <w:t>60335-1</w:t>
            </w:r>
            <w:r>
              <w:t>: “</w:t>
            </w:r>
            <w:r w:rsidR="002B2230">
              <w:rPr>
                <w:i/>
              </w:rPr>
              <w:t>Sicurezza degli apparecchi elet</w:t>
            </w:r>
            <w:r w:rsidR="00FC612F">
              <w:rPr>
                <w:i/>
              </w:rPr>
              <w:t>trici d’uso domestico e similare</w:t>
            </w:r>
            <w:r w:rsidRPr="008B465B">
              <w:rPr>
                <w:i/>
              </w:rPr>
              <w:t xml:space="preserve">. Parte 1: </w:t>
            </w:r>
            <w:r w:rsidR="00D814BC">
              <w:rPr>
                <w:i/>
              </w:rPr>
              <w:t>Norme generali</w:t>
            </w:r>
            <w:r>
              <w:t>”</w:t>
            </w:r>
          </w:p>
          <w:p w:rsidR="00802B0F" w:rsidRPr="00770DFD" w:rsidRDefault="003A3E31" w:rsidP="00523F5A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 w:rsidRPr="00523F5A">
              <w:rPr>
                <w:b/>
              </w:rPr>
              <w:t>EN 60335-2-</w:t>
            </w:r>
            <w:r w:rsidR="00523F5A" w:rsidRPr="00523F5A">
              <w:rPr>
                <w:b/>
              </w:rPr>
              <w:t>25</w:t>
            </w:r>
            <w:r w:rsidR="00422BF1" w:rsidRPr="00523F5A">
              <w:rPr>
                <w:b/>
              </w:rPr>
              <w:t xml:space="preserve">: </w:t>
            </w:r>
            <w:r w:rsidR="00422BF1" w:rsidRPr="002F0BFA">
              <w:t>“</w:t>
            </w:r>
            <w:r w:rsidR="00422BF1" w:rsidRPr="00523F5A">
              <w:rPr>
                <w:i/>
              </w:rPr>
              <w:t xml:space="preserve">Sicurezza degli apparecchi elettrici d'uso domestico e similare Parte 2: </w:t>
            </w:r>
            <w:r w:rsidR="00523F5A" w:rsidRPr="00523F5A">
              <w:rPr>
                <w:i/>
              </w:rPr>
              <w:t>Norme particolari per forni a microonde, compresi forni a microonde combinati</w:t>
            </w:r>
            <w:r w:rsidRPr="00523F5A">
              <w:rPr>
                <w:i/>
              </w:rPr>
              <w:t>”</w:t>
            </w:r>
          </w:p>
          <w:p w:rsidR="00770DFD" w:rsidRPr="00DD287B" w:rsidRDefault="00DD287B" w:rsidP="00DD287B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>
              <w:rPr>
                <w:b/>
              </w:rPr>
              <w:t>EN 55014-1: “</w:t>
            </w:r>
            <w:r w:rsidRPr="00DD287B">
              <w:rPr>
                <w:i/>
              </w:rPr>
              <w:t>Compatibilità elettromagnetica – Requisiti per gli elettrodomestici, gli utensili elettrici e gli apparecchi similari</w:t>
            </w:r>
            <w:r>
              <w:rPr>
                <w:b/>
              </w:rPr>
              <w:t>”</w:t>
            </w:r>
          </w:p>
          <w:p w:rsidR="00DD287B" w:rsidRPr="00C43E63" w:rsidRDefault="00DD287B" w:rsidP="00DD287B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>
              <w:rPr>
                <w:b/>
              </w:rPr>
              <w:t>EN 55014-2: “</w:t>
            </w:r>
            <w:r w:rsidRPr="00DD287B">
              <w:rPr>
                <w:i/>
              </w:rPr>
              <w:t>Compatibilità elettromagnetica – Requisiti per gli elettrodomestici, gli utensili elettrici e gli apparecchi similari Parte 2: Immunità – Norma di famiglia di prodotti</w:t>
            </w:r>
            <w:r w:rsidRPr="00C43E63">
              <w:t>”</w:t>
            </w:r>
          </w:p>
          <w:p w:rsidR="00C43E63" w:rsidRDefault="00C43E63" w:rsidP="00C43E63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  <w:rPr>
                <w:i/>
              </w:rPr>
            </w:pPr>
            <w:r w:rsidRPr="008B465B">
              <w:rPr>
                <w:b/>
              </w:rPr>
              <w:t>EN 61000-3-2</w:t>
            </w:r>
            <w:r>
              <w:t>: “</w:t>
            </w:r>
            <w:r w:rsidRPr="008B465B">
              <w:rPr>
                <w:i/>
              </w:rPr>
              <w:t>Compatibilità elettromagnetica (EMC). Parte 3-2: Limiti - Limiti per le emissioni di corrente armonica (apparecchiature con corrente in ingresso &lt;= 16 A)”</w:t>
            </w:r>
          </w:p>
          <w:p w:rsidR="00C43E63" w:rsidRPr="00523F5A" w:rsidRDefault="00C43E63" w:rsidP="00523F5A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  <w:rPr>
                <w:i/>
              </w:rPr>
            </w:pPr>
            <w:r w:rsidRPr="00922A30">
              <w:rPr>
                <w:b/>
              </w:rPr>
              <w:t>EN 61000-3-3</w:t>
            </w:r>
            <w:r>
              <w:t>:</w:t>
            </w:r>
            <w:r w:rsidRPr="009C3208">
              <w:t xml:space="preserve"> </w:t>
            </w:r>
            <w:r>
              <w:t>“</w:t>
            </w:r>
            <w:r w:rsidRPr="00922A30">
              <w:rPr>
                <w:i/>
              </w:rPr>
              <w:t xml:space="preserve">Compatibilità elettromagnetica (EMC). Parte 3-3: Limiti - Limitazione delle variazioni di tensioni, delle fluttuazioni di tensione e del </w:t>
            </w:r>
            <w:proofErr w:type="spellStart"/>
            <w:r w:rsidRPr="00922A30">
              <w:rPr>
                <w:i/>
              </w:rPr>
              <w:t>flicker</w:t>
            </w:r>
            <w:proofErr w:type="spellEnd"/>
            <w:r w:rsidRPr="00922A30">
              <w:rPr>
                <w:i/>
              </w:rPr>
              <w:t xml:space="preserve"> in sistemi di alimentazione in bassa tensione per apparecchiature con corrente nominale &lt;=16 A per fase e non soggette ad allacciamento su condizione</w:t>
            </w:r>
            <w:r w:rsidR="00523F5A">
              <w:t>”</w:t>
            </w:r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  <w:r>
              <w:t>Riferimento sito esplicativo</w:t>
            </w:r>
          </w:p>
        </w:tc>
        <w:tc>
          <w:tcPr>
            <w:tcW w:w="3812" w:type="pct"/>
          </w:tcPr>
          <w:p w:rsidR="00802B0F" w:rsidRDefault="00802B0F" w:rsidP="00CF4B55">
            <w:pPr>
              <w:ind w:left="35"/>
              <w:jc w:val="both"/>
              <w:rPr>
                <w:b/>
              </w:rPr>
            </w:pPr>
          </w:p>
          <w:p w:rsidR="00802B0F" w:rsidRDefault="00BA54D7" w:rsidP="00CF4B55">
            <w:pPr>
              <w:ind w:left="35"/>
              <w:jc w:val="both"/>
              <w:rPr>
                <w:b/>
              </w:rPr>
            </w:pPr>
            <w:hyperlink r:id="rId16" w:history="1">
              <w:r w:rsidR="00802B0F" w:rsidRPr="00DE5149">
                <w:rPr>
                  <w:rStyle w:val="Collegamentoipertestuale"/>
                  <w:b/>
                </w:rPr>
                <w:t>https://europa.eu/youreurope/business/product-requirements/compliance/index_it.htm?pk_campaign=SDG&amp;pk_kwd=launch&amp;pk_source=sea&amp;pk_medium=search&amp;pk_content=compliance</w:t>
              </w:r>
            </w:hyperlink>
          </w:p>
          <w:p w:rsidR="00802B0F" w:rsidRPr="00933694" w:rsidRDefault="00802B0F" w:rsidP="00CF4B55">
            <w:pPr>
              <w:ind w:left="35"/>
              <w:jc w:val="both"/>
              <w:rPr>
                <w:b/>
              </w:rPr>
            </w:pPr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  <w:r>
              <w:t>Sanzioni comminabili al distributore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>
              <w:t xml:space="preserve">Poiché ai sensi dell’art. 6 del </w:t>
            </w:r>
            <w:proofErr w:type="spellStart"/>
            <w:r>
              <w:t>D.Lgs.</w:t>
            </w:r>
            <w:proofErr w:type="spellEnd"/>
            <w:r>
              <w:t xml:space="preserve"> 86/2016 i distributori prima di mettere un prodotto a disposizione sul mercato assicurano che esso: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la marcatura CE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sia accompagnato dalla documentazione richiesta, nonché da istruzioni e informazioni sulla sicu</w:t>
            </w:r>
            <w:r w:rsidR="00494711">
              <w:t>rezza in lingua italiana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gli estremi del fabbricante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gli estremi dell’importatore (se applicabile)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un codice identificativo</w:t>
            </w:r>
          </w:p>
          <w:p w:rsidR="00802B0F" w:rsidRDefault="00802B0F" w:rsidP="00CF4B55">
            <w:pPr>
              <w:jc w:val="both"/>
            </w:pPr>
          </w:p>
          <w:p w:rsidR="00BA54D7" w:rsidRDefault="00BA54D7" w:rsidP="00BA54D7">
            <w:pPr>
              <w:jc w:val="both"/>
            </w:pPr>
            <w:r>
              <w:t xml:space="preserve">il mancato rispetto degli obblighi precedenti da parte di un distributore è punito con una sanzione amministrativa pecuniaria da </w:t>
            </w:r>
            <w:r>
              <w:rPr>
                <w:b/>
              </w:rPr>
              <w:t xml:space="preserve">500 € </w:t>
            </w:r>
            <w:r>
              <w:t>a</w:t>
            </w:r>
            <w:r>
              <w:rPr>
                <w:b/>
              </w:rPr>
              <w:t xml:space="preserve"> 5.000 €</w:t>
            </w:r>
            <w:r>
              <w:t xml:space="preserve"> (Art.14.7 </w:t>
            </w:r>
            <w:proofErr w:type="spellStart"/>
            <w:r>
              <w:t>D.Lgs</w:t>
            </w:r>
            <w:proofErr w:type="spellEnd"/>
            <w:r>
              <w:t xml:space="preserve"> 86/2016).</w:t>
            </w:r>
          </w:p>
          <w:p w:rsidR="00802B0F" w:rsidRDefault="00802B0F" w:rsidP="00CF4B55">
            <w:pPr>
              <w:jc w:val="both"/>
            </w:pPr>
            <w:bookmarkStart w:id="0" w:name="_GoBack"/>
            <w:bookmarkEnd w:id="0"/>
          </w:p>
          <w:p w:rsidR="00802B0F" w:rsidRDefault="009E612E" w:rsidP="00CF4B55">
            <w:pPr>
              <w:jc w:val="both"/>
            </w:pPr>
            <w:r>
              <w:t>S</w:t>
            </w:r>
            <w:r w:rsidR="00802B0F">
              <w:t xml:space="preserve">alvo che il fatto costituisca reato, il distributore che effettua la messa a disposizione sul mercato di prodotti per i quali ritiene o ha motivo di ritenere che non sia rispettata la conformità, o effettua la messa a disposizione in violazione di un provvedimento di divieto emesso dall’Autorità di vigilanza, è soggetto ad una sanzione amministrativa pecuniaria di una somma da </w:t>
            </w:r>
            <w:r w:rsidR="00802B0F" w:rsidRPr="00DA05AC">
              <w:rPr>
                <w:b/>
              </w:rPr>
              <w:t xml:space="preserve">50 € </w:t>
            </w:r>
            <w:r w:rsidR="00802B0F" w:rsidRPr="00DA05AC">
              <w:t>a</w:t>
            </w:r>
            <w:r w:rsidR="00802B0F" w:rsidRPr="00DA05AC">
              <w:rPr>
                <w:b/>
              </w:rPr>
              <w:t xml:space="preserve"> 150 € per </w:t>
            </w:r>
            <w:r w:rsidR="00802B0F" w:rsidRPr="00DA05AC">
              <w:rPr>
                <w:b/>
              </w:rPr>
              <w:lastRenderedPageBreak/>
              <w:t>ogni singolo pezzo</w:t>
            </w:r>
            <w:r w:rsidR="00802B0F">
              <w:t xml:space="preserve"> e, in ogni caso, </w:t>
            </w:r>
            <w:r w:rsidR="00802B0F" w:rsidRPr="00DA05AC">
              <w:rPr>
                <w:b/>
              </w:rPr>
              <w:t xml:space="preserve">non inferiore a </w:t>
            </w:r>
            <w:r w:rsidR="00802B0F">
              <w:rPr>
                <w:b/>
              </w:rPr>
              <w:t>800</w:t>
            </w:r>
            <w:r w:rsidR="00802B0F" w:rsidRPr="00DA05AC">
              <w:rPr>
                <w:b/>
              </w:rPr>
              <w:t xml:space="preserve"> €</w:t>
            </w:r>
            <w:r w:rsidR="00802B0F">
              <w:t xml:space="preserve"> e </w:t>
            </w:r>
            <w:r w:rsidR="00802B0F" w:rsidRPr="00DA05AC">
              <w:rPr>
                <w:b/>
              </w:rPr>
              <w:t xml:space="preserve">non superiore a </w:t>
            </w:r>
            <w:r w:rsidR="00802B0F">
              <w:rPr>
                <w:b/>
              </w:rPr>
              <w:t>5</w:t>
            </w:r>
            <w:r w:rsidR="00802B0F" w:rsidRPr="00DA05AC">
              <w:rPr>
                <w:b/>
              </w:rPr>
              <w:t>.000 €</w:t>
            </w:r>
            <w:r w:rsidR="00802B0F">
              <w:t xml:space="preserve"> (Art.14.6 </w:t>
            </w:r>
            <w:proofErr w:type="spellStart"/>
            <w:r w:rsidR="00802B0F">
              <w:t>D.Lgs</w:t>
            </w:r>
            <w:proofErr w:type="spellEnd"/>
            <w:r w:rsidR="00802B0F">
              <w:t xml:space="preserve"> 86/2016)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  <w:r w:rsidRPr="0058194D">
              <w:rPr>
                <w:b/>
              </w:rPr>
              <w:t>NOTA</w:t>
            </w:r>
            <w:r>
              <w:t xml:space="preserve">: un distributore </w:t>
            </w:r>
            <w:r w:rsidRPr="00467FC1">
              <w:rPr>
                <w:b/>
              </w:rPr>
              <w:t>è soggetto direttamente agli obblighi del fabbricante ed è ritenuto tale</w:t>
            </w:r>
            <w:r>
              <w:t xml:space="preserve"> ai fini del D. </w:t>
            </w:r>
            <w:proofErr w:type="spellStart"/>
            <w:r>
              <w:t>Lgs</w:t>
            </w:r>
            <w:proofErr w:type="spellEnd"/>
            <w:r>
              <w:t xml:space="preserve"> 86/2016, nel caso in cui immetta sul mercato il materiale elettrico con il proprio nome o marchio commerciale, o modifichi suddetto materiale già immesso sul mercato in modo da poterne condizionare la conformità</w:t>
            </w:r>
          </w:p>
        </w:tc>
      </w:tr>
    </w:tbl>
    <w:p w:rsidR="00802B0F" w:rsidRDefault="00802B0F"/>
    <w:sectPr w:rsidR="00802B0F" w:rsidSect="00802B0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AD1"/>
    <w:multiLevelType w:val="hybridMultilevel"/>
    <w:tmpl w:val="B29A7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5340B"/>
    <w:multiLevelType w:val="hybridMultilevel"/>
    <w:tmpl w:val="AB742B96"/>
    <w:lvl w:ilvl="0" w:tplc="0C7E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F78C1"/>
    <w:multiLevelType w:val="hybridMultilevel"/>
    <w:tmpl w:val="C51A3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1008"/>
    <w:multiLevelType w:val="hybridMultilevel"/>
    <w:tmpl w:val="6F0A3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F5CCC"/>
    <w:multiLevelType w:val="hybridMultilevel"/>
    <w:tmpl w:val="77A0A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42247"/>
    <w:multiLevelType w:val="hybridMultilevel"/>
    <w:tmpl w:val="51326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42CED"/>
    <w:multiLevelType w:val="hybridMultilevel"/>
    <w:tmpl w:val="47B2D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01746"/>
    <w:multiLevelType w:val="hybridMultilevel"/>
    <w:tmpl w:val="3984E98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DD40E92"/>
    <w:multiLevelType w:val="hybridMultilevel"/>
    <w:tmpl w:val="2FDA2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B088A"/>
    <w:multiLevelType w:val="hybridMultilevel"/>
    <w:tmpl w:val="6A8AC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0094D"/>
    <w:multiLevelType w:val="hybridMultilevel"/>
    <w:tmpl w:val="E6D2C5F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56F70B42"/>
    <w:multiLevelType w:val="hybridMultilevel"/>
    <w:tmpl w:val="657CE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13985"/>
    <w:multiLevelType w:val="hybridMultilevel"/>
    <w:tmpl w:val="E6B65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26EEB"/>
    <w:multiLevelType w:val="hybridMultilevel"/>
    <w:tmpl w:val="EECC8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F0FE4"/>
    <w:multiLevelType w:val="hybridMultilevel"/>
    <w:tmpl w:val="BD7A974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F3D59CD"/>
    <w:multiLevelType w:val="hybridMultilevel"/>
    <w:tmpl w:val="414A1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2"/>
  </w:num>
  <w:num w:numId="5">
    <w:abstractNumId w:val="0"/>
  </w:num>
  <w:num w:numId="6">
    <w:abstractNumId w:val="13"/>
  </w:num>
  <w:num w:numId="7">
    <w:abstractNumId w:val="10"/>
  </w:num>
  <w:num w:numId="8">
    <w:abstractNumId w:val="7"/>
  </w:num>
  <w:num w:numId="9">
    <w:abstractNumId w:val="14"/>
  </w:num>
  <w:num w:numId="10">
    <w:abstractNumId w:val="1"/>
  </w:num>
  <w:num w:numId="11">
    <w:abstractNumId w:val="4"/>
  </w:num>
  <w:num w:numId="12">
    <w:abstractNumId w:val="9"/>
  </w:num>
  <w:num w:numId="13">
    <w:abstractNumId w:val="3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0F"/>
    <w:rsid w:val="000259D6"/>
    <w:rsid w:val="00046B05"/>
    <w:rsid w:val="00076459"/>
    <w:rsid w:val="000A6908"/>
    <w:rsid w:val="000B24F0"/>
    <w:rsid w:val="000E6D6E"/>
    <w:rsid w:val="001001AA"/>
    <w:rsid w:val="001022E4"/>
    <w:rsid w:val="00114141"/>
    <w:rsid w:val="00126C62"/>
    <w:rsid w:val="00180B41"/>
    <w:rsid w:val="001B106D"/>
    <w:rsid w:val="001B710B"/>
    <w:rsid w:val="001C1ECA"/>
    <w:rsid w:val="001D0C2B"/>
    <w:rsid w:val="001E733C"/>
    <w:rsid w:val="00202B97"/>
    <w:rsid w:val="00216BCD"/>
    <w:rsid w:val="00236C55"/>
    <w:rsid w:val="00237FA0"/>
    <w:rsid w:val="002439B3"/>
    <w:rsid w:val="00272345"/>
    <w:rsid w:val="002A090A"/>
    <w:rsid w:val="002A4A4E"/>
    <w:rsid w:val="002B2230"/>
    <w:rsid w:val="002D150C"/>
    <w:rsid w:val="002E0277"/>
    <w:rsid w:val="002E6D5F"/>
    <w:rsid w:val="002F0BFA"/>
    <w:rsid w:val="00301C1C"/>
    <w:rsid w:val="003046FA"/>
    <w:rsid w:val="00306CBA"/>
    <w:rsid w:val="00331F6C"/>
    <w:rsid w:val="00360B05"/>
    <w:rsid w:val="00393500"/>
    <w:rsid w:val="003A3E31"/>
    <w:rsid w:val="003A6D89"/>
    <w:rsid w:val="003B6537"/>
    <w:rsid w:val="003C6011"/>
    <w:rsid w:val="003C702E"/>
    <w:rsid w:val="003D749F"/>
    <w:rsid w:val="003E6B76"/>
    <w:rsid w:val="003F70D5"/>
    <w:rsid w:val="00402626"/>
    <w:rsid w:val="00402EE3"/>
    <w:rsid w:val="00417962"/>
    <w:rsid w:val="00422BF1"/>
    <w:rsid w:val="00424B54"/>
    <w:rsid w:val="004417F0"/>
    <w:rsid w:val="00442588"/>
    <w:rsid w:val="004541C1"/>
    <w:rsid w:val="0046515B"/>
    <w:rsid w:val="0047299E"/>
    <w:rsid w:val="00494711"/>
    <w:rsid w:val="004A4960"/>
    <w:rsid w:val="004B1E69"/>
    <w:rsid w:val="004B5DB3"/>
    <w:rsid w:val="004D1159"/>
    <w:rsid w:val="004D219C"/>
    <w:rsid w:val="00520D19"/>
    <w:rsid w:val="00523F5A"/>
    <w:rsid w:val="0055798B"/>
    <w:rsid w:val="00571B14"/>
    <w:rsid w:val="00575E17"/>
    <w:rsid w:val="00575E2E"/>
    <w:rsid w:val="00585A94"/>
    <w:rsid w:val="005C1391"/>
    <w:rsid w:val="00600ED0"/>
    <w:rsid w:val="00613831"/>
    <w:rsid w:val="00624ECA"/>
    <w:rsid w:val="006254B7"/>
    <w:rsid w:val="00644E2C"/>
    <w:rsid w:val="00695593"/>
    <w:rsid w:val="00695FC3"/>
    <w:rsid w:val="006A234C"/>
    <w:rsid w:val="006B5728"/>
    <w:rsid w:val="007101B0"/>
    <w:rsid w:val="00710C8E"/>
    <w:rsid w:val="00743F9A"/>
    <w:rsid w:val="0075356D"/>
    <w:rsid w:val="00770DFD"/>
    <w:rsid w:val="00784AC8"/>
    <w:rsid w:val="007930F5"/>
    <w:rsid w:val="007B2F56"/>
    <w:rsid w:val="007D2794"/>
    <w:rsid w:val="007E68B4"/>
    <w:rsid w:val="00802B0F"/>
    <w:rsid w:val="00804649"/>
    <w:rsid w:val="008110F4"/>
    <w:rsid w:val="008246D3"/>
    <w:rsid w:val="00856AE1"/>
    <w:rsid w:val="00861139"/>
    <w:rsid w:val="00864669"/>
    <w:rsid w:val="008746FA"/>
    <w:rsid w:val="008E35DE"/>
    <w:rsid w:val="008F06AB"/>
    <w:rsid w:val="00900300"/>
    <w:rsid w:val="00903CC0"/>
    <w:rsid w:val="009105A1"/>
    <w:rsid w:val="00914C83"/>
    <w:rsid w:val="00941FEA"/>
    <w:rsid w:val="00970351"/>
    <w:rsid w:val="00993F18"/>
    <w:rsid w:val="009C3FFC"/>
    <w:rsid w:val="009E3DB2"/>
    <w:rsid w:val="009E612E"/>
    <w:rsid w:val="009F4E61"/>
    <w:rsid w:val="00A066C5"/>
    <w:rsid w:val="00A0693F"/>
    <w:rsid w:val="00A118F8"/>
    <w:rsid w:val="00A11DFE"/>
    <w:rsid w:val="00A26185"/>
    <w:rsid w:val="00A514B3"/>
    <w:rsid w:val="00A87413"/>
    <w:rsid w:val="00A93269"/>
    <w:rsid w:val="00AB3756"/>
    <w:rsid w:val="00AC45F1"/>
    <w:rsid w:val="00AC6EDC"/>
    <w:rsid w:val="00AD3E4B"/>
    <w:rsid w:val="00AD3FFC"/>
    <w:rsid w:val="00AE2422"/>
    <w:rsid w:val="00AE503E"/>
    <w:rsid w:val="00AF714E"/>
    <w:rsid w:val="00AF7C2C"/>
    <w:rsid w:val="00B11521"/>
    <w:rsid w:val="00B26C33"/>
    <w:rsid w:val="00B42ED4"/>
    <w:rsid w:val="00B46074"/>
    <w:rsid w:val="00B5473E"/>
    <w:rsid w:val="00B60B69"/>
    <w:rsid w:val="00B63ABE"/>
    <w:rsid w:val="00B7640C"/>
    <w:rsid w:val="00BA54D7"/>
    <w:rsid w:val="00BB1C7B"/>
    <w:rsid w:val="00BB3BF7"/>
    <w:rsid w:val="00BC05E8"/>
    <w:rsid w:val="00BE7ED7"/>
    <w:rsid w:val="00C11999"/>
    <w:rsid w:val="00C200E1"/>
    <w:rsid w:val="00C43E63"/>
    <w:rsid w:val="00C77697"/>
    <w:rsid w:val="00C85246"/>
    <w:rsid w:val="00C9636F"/>
    <w:rsid w:val="00CA34EA"/>
    <w:rsid w:val="00CF4605"/>
    <w:rsid w:val="00CF4B55"/>
    <w:rsid w:val="00D116E8"/>
    <w:rsid w:val="00D15188"/>
    <w:rsid w:val="00D31113"/>
    <w:rsid w:val="00D62429"/>
    <w:rsid w:val="00D814BC"/>
    <w:rsid w:val="00D942C5"/>
    <w:rsid w:val="00D95470"/>
    <w:rsid w:val="00DD287B"/>
    <w:rsid w:val="00DE021D"/>
    <w:rsid w:val="00DE26D6"/>
    <w:rsid w:val="00DE3799"/>
    <w:rsid w:val="00DE3D31"/>
    <w:rsid w:val="00E27451"/>
    <w:rsid w:val="00E37FBF"/>
    <w:rsid w:val="00E5774A"/>
    <w:rsid w:val="00EC3CC9"/>
    <w:rsid w:val="00ED6C3D"/>
    <w:rsid w:val="00F119B9"/>
    <w:rsid w:val="00F332AD"/>
    <w:rsid w:val="00F47E27"/>
    <w:rsid w:val="00F83223"/>
    <w:rsid w:val="00FA0799"/>
    <w:rsid w:val="00FA1C99"/>
    <w:rsid w:val="00FB48E2"/>
    <w:rsid w:val="00FC32A0"/>
    <w:rsid w:val="00FC612F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66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66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141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335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uropa.eu/youreurope/business/product-requirements/compliance/index_it.htm?pk_campaign=SDG&amp;pk_kwd=launch&amp;pk_source=sea&amp;pk_medium=search&amp;pk_content=complianc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16793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Pampaloni</dc:creator>
  <cp:lastModifiedBy>Lorenzo Pampaloni</cp:lastModifiedBy>
  <cp:revision>10</cp:revision>
  <dcterms:created xsi:type="dcterms:W3CDTF">2022-03-09T10:36:00Z</dcterms:created>
  <dcterms:modified xsi:type="dcterms:W3CDTF">2022-05-26T07:04:00Z</dcterms:modified>
</cp:coreProperties>
</file>